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9B38A4">
      <w:pPr>
        <w:spacing w:before="480" w:after="480" w:line="240" w:lineRule="auto"/>
        <w:ind w:left="0"/>
        <w:rPr>
          <w:rFonts w:hint="eastAsia" w:eastAsia="等线"/>
          <w:sz w:val="16"/>
          <w:szCs w:val="18"/>
          <w:lang w:eastAsia="zh-CN"/>
        </w:rPr>
      </w:pPr>
      <w:r>
        <w:rPr>
          <w:rFonts w:hint="eastAsia" w:ascii="Times New Roman" w:hAnsi="Arial" w:eastAsia="微软雅黑" w:cs="Arial"/>
          <w:b/>
          <w:sz w:val="40"/>
          <w:szCs w:val="18"/>
          <w:lang w:eastAsia="zh-CN"/>
        </w:rPr>
        <w:t xml:space="preserve">Jiangsu </w:t>
      </w:r>
      <w:r>
        <w:rPr>
          <w:rFonts w:hint="eastAsia" w:hAnsi="Arial" w:eastAsia="微软雅黑" w:cs="Arial"/>
          <w:b/>
          <w:sz w:val="40"/>
          <w:szCs w:val="18"/>
          <w:lang w:eastAsia="zh-CN"/>
        </w:rPr>
        <w:t>Sunzo</w:t>
      </w:r>
      <w:r>
        <w:rPr>
          <w:rFonts w:hint="eastAsia" w:ascii="Times New Roman" w:hAnsi="Arial" w:eastAsia="微软雅黑" w:cs="Arial"/>
          <w:b/>
          <w:sz w:val="40"/>
          <w:szCs w:val="18"/>
          <w:lang w:eastAsia="zh-CN"/>
        </w:rPr>
        <w:t xml:space="preserve"> – Specialized Electrolyzer Disc Spring Integrated Solution White Paper</w:t>
      </w:r>
    </w:p>
    <w:p w14:paraId="658CC46E">
      <w:pPr>
        <w:spacing w:before="120" w:after="120" w:line="240" w:lineRule="auto"/>
        <w:ind w:left="0"/>
        <w:jc w:val="center"/>
        <w:rPr>
          <w:rFonts w:hint="eastAsia" w:eastAsia="等线"/>
          <w:lang w:eastAsia="zh-CN"/>
        </w:rPr>
      </w:pPr>
      <w:r>
        <w:rPr>
          <w:rFonts w:hint="eastAsia" w:ascii="Times New Roman" w:hAnsi="Arial" w:eastAsia="微软雅黑" w:cs="Arial"/>
          <w:sz w:val="22"/>
          <w:szCs w:val="22"/>
          <w:lang w:eastAsia="zh-CN"/>
        </w:rPr>
        <w:t>— More than just products—we provide comprehensive solutions.</w:t>
      </w:r>
    </w:p>
    <w:p w14:paraId="13F73A9C">
      <w:pPr>
        <w:spacing w:before="320" w:after="120" w:line="288" w:lineRule="auto"/>
        <w:ind w:left="0"/>
        <w:jc w:val="left"/>
        <w:outlineLvl w:val="1"/>
        <w:rPr>
          <w:rFonts w:hint="eastAsia" w:eastAsia="等线"/>
          <w:lang w:eastAsia="zh-CN"/>
        </w:rPr>
      </w:pPr>
      <w:bookmarkStart w:id="0" w:name="heading_0"/>
      <w:r>
        <w:rPr>
          <w:rFonts w:hint="eastAsia" w:ascii="Times New Roman" w:hAnsi="Arial" w:eastAsia="微软雅黑" w:cs="Arial"/>
          <w:b/>
          <w:sz w:val="32"/>
          <w:szCs w:val="22"/>
          <w:lang w:eastAsia="zh-CN"/>
        </w:rPr>
        <w:t>I. Company Profile</w:t>
      </w:r>
      <w:bookmarkEnd w:id="0"/>
    </w:p>
    <w:p w14:paraId="50F6EE8E">
      <w:pPr>
        <w:spacing w:before="120" w:after="120" w:line="288" w:lineRule="auto"/>
        <w:ind w:left="0" w:firstLine="440" w:firstLineChars="200"/>
        <w:jc w:val="left"/>
        <w:rPr>
          <w:rFonts w:hint="eastAsia" w:ascii="Arial" w:hAnsi="Arial" w:eastAsia="等线" w:cs="Arial"/>
          <w:sz w:val="22"/>
          <w:lang w:eastAsia="zh-CN"/>
        </w:rPr>
      </w:pPr>
      <w:r>
        <w:rPr>
          <w:rFonts w:hint="eastAsia" w:ascii="Times New Roman" w:hAnsi="Arial" w:eastAsia="微软雅黑" w:cs="Arial"/>
          <w:sz w:val="22"/>
          <w:szCs w:val="22"/>
          <w:lang w:eastAsia="zh-CN"/>
        </w:rPr>
        <w:t xml:space="preserve">Jiangsu </w:t>
      </w:r>
      <w:r>
        <w:rPr>
          <w:rFonts w:hint="eastAsia" w:hAnsi="Arial" w:eastAsia="微软雅黑" w:cs="Arial"/>
          <w:sz w:val="22"/>
          <w:szCs w:val="22"/>
          <w:lang w:eastAsia="zh-CN"/>
        </w:rPr>
        <w:t>Sunzo</w:t>
      </w:r>
      <w:r>
        <w:rPr>
          <w:rFonts w:hint="eastAsia" w:ascii="Times New Roman" w:hAnsi="Arial" w:eastAsia="微软雅黑" w:cs="Arial"/>
          <w:sz w:val="22"/>
          <w:szCs w:val="22"/>
          <w:lang w:eastAsia="zh-CN"/>
        </w:rPr>
        <w:t xml:space="preserve"> is a National High-Tech Enterprise and a Provincial "Specialized, Refined, Unique, and Innovative" Enterprise. Since 2006, the company has focused on the precision research, development, and manufacturing of disc springs, participated in the formulation and revision of the national standard GB/T 1972 for elastic components, holds more than 70 spring-related patents, and has established a closed-loop industrial production base covering the entire value chain: custom processing of special raw materials  precision forging of conical blanks  specialized heat treatment according to specific operating conditions  fully automated dimensional and force sorting  operating condition simulation laboratory.</w:t>
      </w:r>
    </w:p>
    <w:p w14:paraId="6C86B675">
      <w:pPr>
        <w:spacing w:before="120" w:after="120" w:line="288" w:lineRule="auto"/>
        <w:jc w:val="center"/>
        <w:rPr>
          <w:rFonts w:hint="eastAsia" w:ascii="Arial" w:hAnsi="Arial" w:eastAsia="等线" w:cs="Arial"/>
          <w:sz w:val="22"/>
          <w:lang w:eastAsia="zh-CN"/>
        </w:rPr>
      </w:pPr>
      <w:r>
        <w:rPr>
          <w:rFonts w:hint="eastAsia" w:ascii="Arial" w:hAnsi="Arial" w:eastAsia="等线" w:cs="Arial"/>
          <w:sz w:val="22"/>
          <w:lang w:eastAsia="zh-CN"/>
        </w:rPr>
        <w:drawing>
          <wp:inline distT="0" distB="0" distL="114300" distR="114300">
            <wp:extent cx="3618865" cy="2489200"/>
            <wp:effectExtent l="0" t="0" r="635" b="6350"/>
            <wp:docPr id="1" name="图片 1" descr="三众企业门面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三众企业门面图-2"/>
                    <pic:cNvPicPr>
                      <a:picLocks noChangeAspect="1"/>
                    </pic:cNvPicPr>
                  </pic:nvPicPr>
                  <pic:blipFill>
                    <a:blip r:embed="rId6"/>
                    <a:stretch>
                      <a:fillRect/>
                    </a:stretch>
                  </pic:blipFill>
                  <pic:spPr>
                    <a:xfrm>
                      <a:off x="0" y="0"/>
                      <a:ext cx="3618865" cy="2489200"/>
                    </a:xfrm>
                    <a:prstGeom prst="rect">
                      <a:avLst/>
                    </a:prstGeom>
                  </pic:spPr>
                </pic:pic>
              </a:graphicData>
            </a:graphic>
          </wp:inline>
        </w:drawing>
      </w:r>
    </w:p>
    <w:p w14:paraId="36D22EC1">
      <w:pPr>
        <w:spacing w:before="300" w:after="120" w:line="288" w:lineRule="auto"/>
        <w:ind w:left="0"/>
        <w:jc w:val="left"/>
        <w:outlineLvl w:val="2"/>
        <w:rPr>
          <w:rFonts w:hint="eastAsia" w:eastAsia="等线"/>
          <w:lang w:eastAsia="zh-CN"/>
        </w:rPr>
      </w:pPr>
      <w:bookmarkStart w:id="1" w:name="heading_1"/>
      <w:r>
        <w:rPr>
          <w:rFonts w:hint="eastAsia" w:ascii="Times New Roman" w:hAnsi="Arial" w:eastAsia="微软雅黑" w:cs="Arial"/>
          <w:b/>
          <w:sz w:val="30"/>
          <w:szCs w:val="22"/>
          <w:lang w:eastAsia="zh-CN"/>
        </w:rPr>
        <w:t>Core Qualifications and Production Capacity</w:t>
      </w:r>
      <w:bookmarkEnd w:id="1"/>
    </w:p>
    <w:p w14:paraId="7113FE06">
      <w:pPr>
        <w:numPr>
          <w:ilvl w:val="0"/>
          <w:numId w:val="1"/>
        </w:numPr>
        <w:spacing w:before="120" w:after="120" w:line="288" w:lineRule="auto"/>
        <w:ind w:left="425" w:leftChars="0" w:hanging="425" w:firstLineChars="0"/>
        <w:jc w:val="left"/>
      </w:pPr>
      <w:r>
        <w:rPr>
          <w:rFonts w:hint="eastAsia" w:ascii="Times New Roman" w:hAnsi="Arial" w:eastAsia="微软雅黑" w:cs="Arial"/>
          <w:sz w:val="22"/>
          <w:szCs w:val="22"/>
          <w:lang w:eastAsia="zh-CN"/>
        </w:rPr>
        <w:t>System Certification: ISO 9001, IATF 16949, ISO 14001, and ISO 45001 – covering the entire organization, enabling compliance with the stringent quality audit requirements for energy equipment;</w:t>
      </w:r>
    </w:p>
    <w:p w14:paraId="3CEFC275">
      <w:pPr>
        <w:numPr>
          <w:ilvl w:val="0"/>
          <w:numId w:val="1"/>
        </w:numPr>
        <w:spacing w:before="120" w:after="120" w:line="288" w:lineRule="auto"/>
        <w:ind w:left="425" w:leftChars="0" w:hanging="425" w:firstLineChars="0"/>
        <w:jc w:val="left"/>
      </w:pPr>
      <w:r>
        <w:rPr>
          <w:rFonts w:hint="eastAsia" w:ascii="Times New Roman" w:hAnsi="Arial" w:eastAsia="微软雅黑" w:cs="Arial"/>
          <w:sz w:val="22"/>
          <w:szCs w:val="22"/>
          <w:lang w:eastAsia="zh-CN"/>
        </w:rPr>
        <w:t>Comprehensive Testing Center: We have established a 100,000-class precision testing laboratory equipped with comprehensive test facilities covering load curves, high-temperature creep, stress relaxation, fatigue cycles, neutral salt spray, metallographic analysis, and hydrogen embrittlement stress testing; we are capable of independently conducting full-fledged factory acceptance testing, providing complete internal test reports, and supporting third-party institutions in performing external certification tests;</w:t>
      </w:r>
    </w:p>
    <w:p w14:paraId="5DBC7F06">
      <w:pPr>
        <w:numPr>
          <w:ilvl w:val="0"/>
          <w:numId w:val="1"/>
        </w:numPr>
        <w:spacing w:before="120" w:after="120" w:line="288" w:lineRule="auto"/>
        <w:ind w:left="425" w:leftChars="0" w:hanging="425" w:firstLineChars="0"/>
        <w:jc w:val="left"/>
      </w:pPr>
      <w:r>
        <w:rPr>
          <w:rFonts w:hint="eastAsia" w:ascii="Times New Roman" w:hAnsi="Arial" w:eastAsia="微软雅黑" w:cs="Arial"/>
          <w:sz w:val="22"/>
          <w:szCs w:val="22"/>
          <w:lang w:eastAsia="zh-CN"/>
        </w:rPr>
        <w:t>Full-range material inventory: We maintain a consistent stock of specialized hydrogen energy materials, including refined spring steel, austenitic stainless steel, Inconel nickel-based superalloys, precipitation-hardened stainless steel, and Hastelloy corrosion-resistant alloys, with rapid response capabilities for both sample and batch deliveries;</w:t>
      </w:r>
    </w:p>
    <w:p w14:paraId="4DBACD48">
      <w:pPr>
        <w:numPr>
          <w:ilvl w:val="0"/>
          <w:numId w:val="1"/>
        </w:numPr>
        <w:spacing w:before="120" w:after="120" w:line="288" w:lineRule="auto"/>
        <w:ind w:left="425" w:leftChars="0" w:hanging="425" w:firstLineChars="0"/>
        <w:jc w:val="left"/>
      </w:pPr>
      <w:r>
        <w:rPr>
          <w:rFonts w:hint="eastAsia" w:ascii="Times New Roman" w:hAnsi="Arial" w:eastAsia="微软雅黑" w:cs="Arial"/>
          <w:sz w:val="22"/>
          <w:szCs w:val="22"/>
          <w:lang w:eastAsia="zh-CN"/>
        </w:rPr>
        <w:t>Supporting service capabilities: standard specifications with in-stock inventory; non-standard disc springs available for custom orders starting from a single unit; complete sets of factory-type testing support; on-site engineering assembly technical guidance; and long-term failure analysis support.</w:t>
      </w:r>
    </w:p>
    <w:p w14:paraId="44234D82">
      <w:pPr>
        <w:spacing w:before="300" w:after="120" w:line="288" w:lineRule="auto"/>
        <w:ind w:left="0"/>
        <w:jc w:val="left"/>
        <w:outlineLvl w:val="2"/>
        <w:rPr>
          <w:rFonts w:hint="eastAsia" w:eastAsia="等线"/>
          <w:lang w:eastAsia="zh-CN"/>
        </w:rPr>
      </w:pPr>
      <w:bookmarkStart w:id="2" w:name="heading_2"/>
      <w:r>
        <w:rPr>
          <w:rFonts w:hint="eastAsia" w:ascii="Times New Roman" w:hAnsi="Arial" w:eastAsia="微软雅黑" w:cs="Arial"/>
          <w:b/>
          <w:sz w:val="30"/>
          <w:szCs w:val="22"/>
          <w:lang w:eastAsia="zh-CN"/>
        </w:rPr>
        <w:t>Core Positioning of the Green Hydrogen Sector</w:t>
      </w:r>
      <w:bookmarkEnd w:id="2"/>
    </w:p>
    <w:p w14:paraId="52CA87C4">
      <w:pPr>
        <w:spacing w:before="120" w:after="120" w:line="288" w:lineRule="auto"/>
        <w:ind w:left="0" w:firstLine="440" w:firstLineChars="200"/>
        <w:jc w:val="left"/>
        <w:rPr>
          <w:rFonts w:hint="eastAsia" w:eastAsia="等线"/>
          <w:lang w:eastAsia="zh-CN"/>
        </w:rPr>
      </w:pPr>
      <w:r>
        <w:rPr>
          <w:rFonts w:hint="eastAsia" w:ascii="Times New Roman" w:hAnsi="Arial" w:eastAsia="微软雅黑" w:cs="Arial"/>
          <w:sz w:val="22"/>
          <w:szCs w:val="22"/>
          <w:lang w:eastAsia="zh-CN"/>
        </w:rPr>
        <w:t>We focus on the three mainstream electrolyzer clamping systems: alkaline ALK systems, PEM proton exchange membranes, and AEM anion exchange membranes. To address five critical extreme operating conditions—continuous high-voltage pre-clamping, cyclic thermal cycling, hydrogen embrittlement/strong alkali corrosion, long-term high-temperature creep, and stack sealing safety—we provide integrated disc spring clamping complete solutions tailored to meet the localization requirements for clamping systems across various hydrogen production equipment.</w:t>
      </w:r>
    </w:p>
    <w:p w14:paraId="18CE17EB">
      <w:pPr>
        <w:spacing w:before="320" w:after="120" w:line="288" w:lineRule="auto"/>
        <w:ind w:left="0"/>
        <w:jc w:val="left"/>
        <w:outlineLvl w:val="1"/>
        <w:rPr>
          <w:rFonts w:hint="eastAsia" w:eastAsia="等线"/>
          <w:lang w:eastAsia="zh-CN"/>
        </w:rPr>
      </w:pPr>
      <w:bookmarkStart w:id="3" w:name="heading_3"/>
      <w:r>
        <w:rPr>
          <w:rFonts w:hint="eastAsia" w:ascii="Times New Roman" w:hAnsi="Arial" w:eastAsia="微软雅黑" w:cs="Arial"/>
          <w:b/>
          <w:sz w:val="32"/>
          <w:szCs w:val="22"/>
          <w:lang w:eastAsia="zh-CN"/>
        </w:rPr>
        <w:t>II. Background of the Green Hydrogen Industry: The Core Value of Electrolyzer Disc Springs and Common Industry Pain Points</w:t>
      </w:r>
      <w:bookmarkEnd w:id="3"/>
    </w:p>
    <w:p w14:paraId="2B2A745F">
      <w:pPr>
        <w:spacing w:before="300" w:after="120" w:line="288" w:lineRule="auto"/>
        <w:ind w:left="0"/>
        <w:jc w:val="left"/>
        <w:outlineLvl w:val="2"/>
        <w:rPr>
          <w:rFonts w:hint="eastAsia" w:ascii="Arial" w:hAnsi="Arial" w:eastAsia="等线" w:cs="Arial"/>
          <w:b/>
          <w:sz w:val="30"/>
          <w:lang w:eastAsia="zh-CN"/>
        </w:rPr>
      </w:pPr>
      <w:bookmarkStart w:id="4" w:name="heading_4"/>
      <w:r>
        <w:rPr>
          <w:rFonts w:hint="eastAsia" w:ascii="Times New Roman" w:hAnsi="Arial" w:eastAsia="微软雅黑" w:cs="Arial"/>
          <w:b/>
          <w:sz w:val="30"/>
          <w:szCs w:val="22"/>
          <w:lang w:eastAsia="zh-CN"/>
        </w:rPr>
        <w:t>2.1 The four core functions of diaphragm springs in electrolysis cell stacking systems</w:t>
      </w:r>
      <w:bookmarkEnd w:id="4"/>
    </w:p>
    <w:p w14:paraId="0A10CCC2">
      <w:pPr>
        <w:spacing w:before="300" w:after="120" w:line="288" w:lineRule="auto"/>
        <w:ind w:left="0"/>
        <w:jc w:val="center"/>
        <w:outlineLvl w:val="2"/>
        <w:rPr>
          <w:rFonts w:hint="eastAsia" w:ascii="Arial" w:hAnsi="Arial" w:eastAsia="等线" w:cs="Arial"/>
          <w:b/>
          <w:sz w:val="30"/>
          <w:lang w:eastAsia="zh-CN"/>
        </w:rPr>
      </w:pPr>
      <w:r>
        <w:rPr>
          <w:rFonts w:hint="eastAsia" w:ascii="Arial" w:hAnsi="Arial" w:eastAsia="等线" w:cs="Arial"/>
          <w:b/>
          <w:sz w:val="30"/>
          <w:lang w:eastAsia="zh-CN"/>
        </w:rPr>
        <w:drawing>
          <wp:inline distT="0" distB="0" distL="114300" distR="114300">
            <wp:extent cx="4095750" cy="2729865"/>
            <wp:effectExtent l="0" t="0" r="0" b="13335"/>
            <wp:docPr id="4" name="图片 4" descr="96c46d3d9ec1c54406332ddbfc6cb7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96c46d3d9ec1c54406332ddbfc6cb74e"/>
                    <pic:cNvPicPr>
                      <a:picLocks noChangeAspect="1"/>
                    </pic:cNvPicPr>
                  </pic:nvPicPr>
                  <pic:blipFill>
                    <a:blip r:embed="rId7"/>
                    <a:stretch>
                      <a:fillRect/>
                    </a:stretch>
                  </pic:blipFill>
                  <pic:spPr>
                    <a:xfrm>
                      <a:off x="0" y="0"/>
                      <a:ext cx="4095750" cy="2729865"/>
                    </a:xfrm>
                    <a:prstGeom prst="rect">
                      <a:avLst/>
                    </a:prstGeom>
                  </pic:spPr>
                </pic:pic>
              </a:graphicData>
            </a:graphic>
          </wp:inline>
        </w:drawing>
      </w:r>
    </w:p>
    <w:p w14:paraId="50660F38">
      <w:pPr>
        <w:numPr>
          <w:ilvl w:val="0"/>
          <w:numId w:val="2"/>
        </w:numPr>
        <w:spacing w:before="120" w:after="120" w:line="288" w:lineRule="auto"/>
        <w:ind w:left="425" w:leftChars="0" w:hanging="425" w:firstLineChars="0"/>
        <w:jc w:val="left"/>
      </w:pPr>
      <w:r>
        <w:rPr>
          <w:rFonts w:hint="eastAsia" w:ascii="Times New Roman" w:hAnsi="Arial" w:eastAsia="微软雅黑" w:cs="Arial"/>
          <w:b/>
          <w:sz w:val="22"/>
          <w:szCs w:val="22"/>
          <w:lang w:eastAsia="zh-CN"/>
        </w:rPr>
        <w:t>Uniformly distributed uniform preload</w:t>
      </w:r>
    </w:p>
    <w:p w14:paraId="150C8F99">
      <w:pPr>
        <w:numPr>
          <w:ilvl w:val="0"/>
          <w:numId w:val="2"/>
        </w:numPr>
        <w:spacing w:before="120" w:after="120" w:line="288" w:lineRule="auto"/>
        <w:ind w:left="425" w:leftChars="0" w:hanging="425" w:firstLineChars="0"/>
        <w:jc w:val="left"/>
      </w:pPr>
      <w:r>
        <w:rPr>
          <w:rFonts w:hint="eastAsia" w:ascii="Times New Roman" w:hAnsi="Arial" w:eastAsia="微软雅黑" w:cs="Arial"/>
          <w:sz w:val="22"/>
          <w:szCs w:val="22"/>
          <w:lang w:eastAsia="zh-CN"/>
        </w:rPr>
        <w:t>Balances the clamping of the electrode plates, the membrane electrode assembly, and the sealing gaskets; eliminates local pressure voids within the fuel cell stack; reduces the contact resistance between the electrode plates; stabilizes the hydrogen production energy consumption; and prevents localized overheating.</w:t>
      </w:r>
    </w:p>
    <w:p w14:paraId="3125A397">
      <w:pPr>
        <w:numPr>
          <w:ilvl w:val="0"/>
          <w:numId w:val="2"/>
        </w:numPr>
        <w:spacing w:before="120" w:after="120" w:line="288" w:lineRule="auto"/>
        <w:ind w:left="425" w:leftChars="0" w:hanging="425" w:firstLineChars="0"/>
        <w:jc w:val="left"/>
      </w:pPr>
      <w:r>
        <w:rPr>
          <w:rFonts w:hint="eastAsia" w:ascii="Times New Roman" w:hAnsi="Arial" w:eastAsia="微软雅黑" w:cs="Arial"/>
          <w:b/>
          <w:sz w:val="22"/>
          <w:szCs w:val="22"/>
          <w:lang w:eastAsia="zh-CN"/>
        </w:rPr>
        <w:t>Long-term creep dynamic compensation</w:t>
      </w:r>
    </w:p>
    <w:p w14:paraId="71670D75">
      <w:pPr>
        <w:numPr>
          <w:ilvl w:val="0"/>
          <w:numId w:val="2"/>
        </w:numPr>
        <w:spacing w:before="120" w:after="120" w:line="288" w:lineRule="auto"/>
        <w:ind w:left="425" w:leftChars="0" w:hanging="425" w:firstLineChars="0"/>
        <w:jc w:val="left"/>
      </w:pPr>
      <w:r>
        <w:rPr>
          <w:rFonts w:hint="eastAsia" w:ascii="Times New Roman" w:hAnsi="Arial" w:eastAsia="微软雅黑" w:cs="Arial"/>
          <w:sz w:val="22"/>
          <w:szCs w:val="22"/>
          <w:lang w:eastAsia="zh-CN"/>
        </w:rPr>
        <w:t>The compensating sealing element and electrode plate material counteract creep relaxation under long-term operation at high temperatures and high pressures, thereby continuously maintaining the stack's clamping load and preventing a sustained decrease in operating pressure.</w:t>
      </w:r>
    </w:p>
    <w:p w14:paraId="2AD87541">
      <w:pPr>
        <w:numPr>
          <w:ilvl w:val="0"/>
          <w:numId w:val="2"/>
        </w:numPr>
        <w:spacing w:before="120" w:after="120" w:line="288" w:lineRule="auto"/>
        <w:ind w:left="425" w:leftChars="0" w:hanging="425" w:firstLineChars="0"/>
        <w:jc w:val="left"/>
      </w:pPr>
      <w:r>
        <w:rPr>
          <w:rFonts w:hint="eastAsia" w:ascii="Times New Roman" w:hAnsi="Arial" w:eastAsia="微软雅黑" w:cs="Arial"/>
          <w:b/>
          <w:sz w:val="22"/>
          <w:szCs w:val="22"/>
          <w:lang w:eastAsia="zh-CN"/>
        </w:rPr>
        <w:t>Cold/Hot Start Adaptive Buffer</w:t>
      </w:r>
    </w:p>
    <w:p w14:paraId="1CC53128">
      <w:pPr>
        <w:numPr>
          <w:ilvl w:val="0"/>
          <w:numId w:val="2"/>
        </w:numPr>
        <w:spacing w:before="120" w:after="120" w:line="288" w:lineRule="auto"/>
        <w:ind w:left="425" w:leftChars="0" w:hanging="425" w:firstLineChars="0"/>
        <w:jc w:val="left"/>
      </w:pPr>
      <w:r>
        <w:rPr>
          <w:rFonts w:hint="eastAsia" w:ascii="Times New Roman" w:hAnsi="Arial" w:eastAsia="微软雅黑" w:cs="Arial"/>
          <w:sz w:val="22"/>
          <w:szCs w:val="22"/>
          <w:lang w:eastAsia="zh-CN"/>
        </w:rPr>
        <w:t>It is designed to withstand the drastic temperature fluctuations caused by frequent power-on and power-off cycles of the equipment, compensates for the dimensional expansion and contraction due to thermal effects in metals, and eliminates both sealing leakage under low-temperature operating conditions and membrane module crushing risks under high-temperature operating conditions.</w:t>
      </w:r>
    </w:p>
    <w:p w14:paraId="35A6A87C">
      <w:pPr>
        <w:numPr>
          <w:ilvl w:val="0"/>
          <w:numId w:val="2"/>
        </w:numPr>
        <w:spacing w:before="120" w:after="120" w:line="288" w:lineRule="auto"/>
        <w:ind w:left="425" w:leftChars="0" w:hanging="425" w:firstLineChars="0"/>
        <w:jc w:val="left"/>
      </w:pPr>
      <w:r>
        <w:rPr>
          <w:rFonts w:hint="eastAsia" w:ascii="Times New Roman" w:hAnsi="Arial" w:eastAsia="微软雅黑" w:cs="Arial"/>
          <w:b/>
          <w:sz w:val="22"/>
          <w:szCs w:val="22"/>
          <w:lang w:eastAsia="zh-CN"/>
        </w:rPr>
        <w:t>Comprehensive safety sealing guarantee for equipment</w:t>
      </w:r>
    </w:p>
    <w:p w14:paraId="00BEFF68">
      <w:pPr>
        <w:numPr>
          <w:ilvl w:val="0"/>
          <w:numId w:val="2"/>
        </w:numPr>
        <w:spacing w:before="120" w:after="120" w:line="288" w:lineRule="auto"/>
        <w:ind w:left="425" w:leftChars="0" w:hanging="425" w:firstLineChars="0"/>
        <w:jc w:val="left"/>
      </w:pPr>
      <w:r>
        <w:rPr>
          <w:rFonts w:hint="eastAsia" w:ascii="Times New Roman" w:hAnsi="Arial" w:eastAsia="微软雅黑" w:cs="Arial"/>
          <w:sz w:val="22"/>
          <w:szCs w:val="22"/>
          <w:lang w:eastAsia="zh-CN"/>
        </w:rPr>
        <w:t>The continuous and stable compression of the sealing structure effectively prevents major safety hazards such as alkaline electrolyte leakage and hydrogen-oxygen medium mixing under high-voltage operating conditions at their source.</w:t>
      </w:r>
    </w:p>
    <w:p w14:paraId="09BCE97A">
      <w:pPr>
        <w:spacing w:before="300" w:after="120" w:line="288" w:lineRule="auto"/>
        <w:ind w:left="0"/>
        <w:jc w:val="left"/>
        <w:outlineLvl w:val="2"/>
        <w:rPr>
          <w:rFonts w:hint="eastAsia" w:eastAsia="等线"/>
          <w:lang w:eastAsia="zh-CN"/>
        </w:rPr>
      </w:pPr>
      <w:bookmarkStart w:id="5" w:name="heading_5"/>
      <w:r>
        <w:rPr>
          <w:rFonts w:hint="eastAsia" w:ascii="Times New Roman" w:hAnsi="Arial" w:eastAsia="微软雅黑" w:cs="Arial"/>
          <w:b/>
          <w:sz w:val="30"/>
          <w:szCs w:val="22"/>
          <w:lang w:eastAsia="zh-CN"/>
        </w:rPr>
        <w:t>2.2 Common failure points of disc springs in electrolysis cells across the entire industry</w:t>
      </w:r>
      <w:bookmarkEnd w:id="5"/>
    </w:p>
    <w:p w14:paraId="58F7F8BC">
      <w:pPr>
        <w:numPr>
          <w:ilvl w:val="0"/>
          <w:numId w:val="3"/>
        </w:numPr>
        <w:spacing w:before="120" w:after="120" w:line="288" w:lineRule="auto"/>
        <w:ind w:left="425" w:leftChars="0" w:hanging="425" w:firstLineChars="0"/>
        <w:jc w:val="left"/>
      </w:pPr>
      <w:r>
        <w:rPr>
          <w:rFonts w:hint="eastAsia" w:ascii="Times New Roman" w:hAnsi="Arial" w:eastAsia="微软雅黑" w:cs="Arial"/>
          <w:b/>
          <w:sz w:val="22"/>
          <w:szCs w:val="22"/>
          <w:lang w:eastAsia="zh-CN"/>
        </w:rPr>
        <w:t>Poor force consistency</w:t>
      </w:r>
    </w:p>
    <w:p w14:paraId="6E950320">
      <w:pPr>
        <w:numPr>
          <w:ilvl w:val="0"/>
          <w:numId w:val="3"/>
        </w:numPr>
        <w:spacing w:before="120" w:after="120" w:line="288" w:lineRule="auto"/>
        <w:ind w:left="425" w:leftChars="0" w:hanging="425" w:firstLineChars="0"/>
        <w:jc w:val="left"/>
      </w:pPr>
      <w:r>
        <w:rPr>
          <w:rFonts w:hint="eastAsia" w:ascii="Times New Roman" w:hAnsi="Arial" w:eastAsia="微软雅黑" w:cs="Arial"/>
          <w:sz w:val="22"/>
          <w:szCs w:val="22"/>
          <w:lang w:eastAsia="zh-CN"/>
        </w:rPr>
        <w:t>The thickness and free height of the disc springs within the same batch exhibit significant tolerance variations; the preload load at multiple bolt points for each individual fuel cell stack shows large deviations; the pressure distribution across the stack is uneven; contact resistance fluctuates; and localized high temperatures occur.</w:t>
      </w:r>
    </w:p>
    <w:p w14:paraId="5DFE0471">
      <w:pPr>
        <w:numPr>
          <w:ilvl w:val="0"/>
          <w:numId w:val="3"/>
        </w:numPr>
        <w:spacing w:before="120" w:after="120" w:line="288" w:lineRule="auto"/>
        <w:ind w:left="425" w:leftChars="0" w:hanging="425" w:firstLineChars="0"/>
        <w:jc w:val="left"/>
      </w:pPr>
      <w:r>
        <w:rPr>
          <w:rFonts w:hint="eastAsia" w:ascii="Times New Roman" w:hAnsi="Arial" w:eastAsia="微软雅黑" w:cs="Arial"/>
          <w:b/>
          <w:sz w:val="22"/>
          <w:szCs w:val="22"/>
          <w:lang w:eastAsia="zh-CN"/>
        </w:rPr>
        <w:t>Severe high-temperature long-term stress relaxation/creep</w:t>
      </w:r>
    </w:p>
    <w:p w14:paraId="0428D9C5">
      <w:pPr>
        <w:numPr>
          <w:ilvl w:val="0"/>
          <w:numId w:val="3"/>
        </w:numPr>
        <w:spacing w:before="120" w:after="120" w:line="288" w:lineRule="auto"/>
        <w:ind w:left="425" w:leftChars="0" w:hanging="425" w:firstLineChars="0"/>
        <w:jc w:val="left"/>
      </w:pPr>
      <w:r>
        <w:rPr>
          <w:rFonts w:hint="eastAsia" w:ascii="Times New Roman" w:hAnsi="Arial" w:eastAsia="微软雅黑" w:cs="Arial"/>
          <w:sz w:val="22"/>
          <w:szCs w:val="22"/>
          <w:lang w:eastAsia="zh-CN"/>
        </w:rPr>
        <w:t>After several months of continuous operation, the preload of the equipment may experience a significant reduction; in such cases, the unit must be shut down for disassembly and re-tightening of the bolts, which interrupts production, substantially reduces the operating rate of the electrolysis cell, and increases operational and maintenance labor costs.</w:t>
      </w:r>
    </w:p>
    <w:p w14:paraId="4F6A6824">
      <w:pPr>
        <w:numPr>
          <w:ilvl w:val="0"/>
          <w:numId w:val="3"/>
        </w:numPr>
        <w:spacing w:before="120" w:after="120" w:line="288" w:lineRule="auto"/>
        <w:ind w:left="425" w:leftChars="0" w:hanging="425" w:firstLineChars="0"/>
        <w:jc w:val="left"/>
      </w:pPr>
      <w:r>
        <w:rPr>
          <w:rFonts w:hint="eastAsia" w:ascii="Times New Roman" w:hAnsi="Arial" w:eastAsia="微软雅黑" w:cs="Arial"/>
          <w:b/>
          <w:sz w:val="22"/>
          <w:szCs w:val="22"/>
          <w:lang w:eastAsia="zh-CN"/>
        </w:rPr>
        <w:t>Hydrogen embrittlement and strong alkali corrosion failure risks</w:t>
      </w:r>
    </w:p>
    <w:p w14:paraId="6AA774FB">
      <w:pPr>
        <w:numPr>
          <w:ilvl w:val="0"/>
          <w:numId w:val="3"/>
        </w:numPr>
        <w:spacing w:before="120" w:after="120" w:line="288" w:lineRule="auto"/>
        <w:ind w:left="425" w:leftChars="0" w:hanging="425" w:firstLineChars="0"/>
        <w:jc w:val="left"/>
      </w:pPr>
      <w:r>
        <w:rPr>
          <w:rFonts w:hint="eastAsia" w:ascii="Times New Roman" w:hAnsi="Arial" w:eastAsia="微软雅黑" w:cs="Arial"/>
          <w:sz w:val="22"/>
          <w:szCs w:val="22"/>
          <w:lang w:eastAsia="zh-CN"/>
        </w:rPr>
        <w:t>Alkaline electrolyzers are exposed to KOH-based strong alkaline electrolyte over long periods; PEM electrolyzers operate in a high-pressure hydrogen environment, where conventional carbon steel and standard spring steel are prone to surface corrosion and internal hydrogen-induced cracking, thereby posing potential risks of fracture and leakage.</w:t>
      </w:r>
    </w:p>
    <w:p w14:paraId="082350BE">
      <w:pPr>
        <w:numPr>
          <w:ilvl w:val="0"/>
          <w:numId w:val="3"/>
        </w:numPr>
        <w:spacing w:before="120" w:after="120" w:line="288" w:lineRule="auto"/>
        <w:ind w:left="425" w:leftChars="0" w:hanging="425" w:firstLineChars="0"/>
        <w:jc w:val="left"/>
      </w:pPr>
      <w:r>
        <w:rPr>
          <w:rFonts w:hint="eastAsia" w:ascii="Times New Roman" w:hAnsi="Arial" w:eastAsia="微软雅黑" w:cs="Arial"/>
          <w:b/>
          <w:sz w:val="22"/>
          <w:szCs w:val="22"/>
          <w:lang w:eastAsia="zh-CN"/>
        </w:rPr>
        <w:t>Insufficient fatigue life</w:t>
      </w:r>
    </w:p>
    <w:p w14:paraId="008A5E17">
      <w:pPr>
        <w:numPr>
          <w:ilvl w:val="0"/>
          <w:numId w:val="3"/>
        </w:numPr>
        <w:spacing w:before="120" w:after="120" w:line="288" w:lineRule="auto"/>
        <w:ind w:left="425" w:leftChars="0" w:hanging="425" w:firstLineChars="0"/>
        <w:jc w:val="left"/>
      </w:pPr>
      <w:r>
        <w:rPr>
          <w:rFonts w:hint="eastAsia" w:ascii="Times New Roman" w:hAnsi="Arial" w:eastAsia="微软雅黑" w:cs="Arial"/>
          <w:sz w:val="22"/>
          <w:szCs w:val="22"/>
          <w:lang w:eastAsia="zh-CN"/>
        </w:rPr>
        <w:t>Under frequent start-stop cycling conditions associated with project auxiliary equipment, disc springs are prone to fatigue fracture, which can directly lead to sealing failure and safety incidents involving medium leakage.</w:t>
      </w:r>
    </w:p>
    <w:p w14:paraId="11334BDE">
      <w:pPr>
        <w:numPr>
          <w:ilvl w:val="0"/>
          <w:numId w:val="3"/>
        </w:numPr>
        <w:spacing w:before="120" w:after="120" w:line="288" w:lineRule="auto"/>
        <w:ind w:left="425" w:leftChars="0" w:hanging="425" w:firstLineChars="0"/>
        <w:jc w:val="left"/>
      </w:pPr>
      <w:r>
        <w:rPr>
          <w:rFonts w:hint="eastAsia" w:ascii="Times New Roman" w:hAnsi="Arial" w:eastAsia="微软雅黑" w:cs="Arial"/>
          <w:b/>
          <w:sz w:val="22"/>
          <w:szCs w:val="22"/>
          <w:lang w:eastAsia="zh-CN"/>
        </w:rPr>
        <w:t>Surface friction generates metal debris.</w:t>
      </w:r>
    </w:p>
    <w:p w14:paraId="07B2A9AD">
      <w:pPr>
        <w:numPr>
          <w:ilvl w:val="0"/>
          <w:numId w:val="3"/>
        </w:numPr>
        <w:spacing w:before="120" w:after="120" w:line="288" w:lineRule="auto"/>
        <w:ind w:left="425" w:leftChars="0" w:hanging="425" w:firstLineChars="0"/>
        <w:jc w:val="left"/>
      </w:pPr>
      <w:r>
        <w:rPr>
          <w:rFonts w:hint="eastAsia" w:ascii="Times New Roman" w:hAnsi="Arial" w:eastAsia="微软雅黑" w:cs="Arial"/>
          <w:sz w:val="22"/>
          <w:szCs w:val="22"/>
          <w:lang w:eastAsia="zh-CN"/>
        </w:rPr>
        <w:t>Long-term reciprocating friction between the disc spring and the terminal plate generates metal powder, which contaminates the electrolyte, scratches the membrane electrode, and, in severe cases, causes breakdown of the insulation structure.</w:t>
      </w:r>
    </w:p>
    <w:p w14:paraId="0706C9B9">
      <w:pPr>
        <w:numPr>
          <w:ilvl w:val="0"/>
          <w:numId w:val="3"/>
        </w:numPr>
        <w:spacing w:before="120" w:after="120" w:line="288" w:lineRule="auto"/>
        <w:ind w:left="425" w:leftChars="0" w:hanging="425" w:firstLineChars="0"/>
        <w:jc w:val="left"/>
      </w:pPr>
      <w:r>
        <w:rPr>
          <w:rFonts w:hint="eastAsia" w:ascii="Times New Roman" w:hAnsi="Arial" w:eastAsia="微软雅黑" w:cs="Arial"/>
          <w:b/>
          <w:sz w:val="22"/>
          <w:szCs w:val="22"/>
          <w:lang w:eastAsia="zh-CN"/>
        </w:rPr>
        <w:t>Shortcomings in traditional imported supporting components</w:t>
      </w:r>
    </w:p>
    <w:p w14:paraId="5069A729">
      <w:pPr>
        <w:numPr>
          <w:ilvl w:val="0"/>
          <w:numId w:val="3"/>
        </w:numPr>
        <w:spacing w:before="120" w:after="120" w:line="288" w:lineRule="auto"/>
        <w:ind w:left="425" w:leftChars="0" w:hanging="425" w:firstLineChars="0"/>
        <w:jc w:val="left"/>
      </w:pPr>
      <w:r>
        <w:rPr>
          <w:rFonts w:hint="eastAsia" w:ascii="Times New Roman" w:hAnsi="Arial" w:eastAsia="微软雅黑" w:cs="Arial"/>
          <w:sz w:val="22"/>
          <w:szCs w:val="22"/>
          <w:lang w:eastAsia="zh-CN"/>
        </w:rPr>
        <w:t>Overseas disc spring brands feature long delivery cycles and relatively high product pricing; they do not support small-batch customized development, lack on-site technical engineers in China, and are unable to perform specialized process optimization tailored to the unique operating conditions of electrolysis cells.</w:t>
      </w:r>
    </w:p>
    <w:p w14:paraId="04AC052E">
      <w:pPr>
        <w:spacing w:before="320" w:after="120" w:line="288" w:lineRule="auto"/>
        <w:ind w:left="0"/>
        <w:jc w:val="left"/>
        <w:outlineLvl w:val="1"/>
        <w:rPr>
          <w:rFonts w:hint="eastAsia" w:eastAsia="等线"/>
          <w:lang w:eastAsia="zh-CN"/>
        </w:rPr>
      </w:pPr>
      <w:bookmarkStart w:id="6" w:name="heading_6"/>
      <w:r>
        <w:rPr>
          <w:rFonts w:hint="eastAsia" w:ascii="Times New Roman" w:hAnsi="Arial" w:eastAsia="微软雅黑" w:cs="Arial"/>
          <w:b/>
          <w:sz w:val="32"/>
          <w:szCs w:val="22"/>
          <w:lang w:eastAsia="zh-CN"/>
        </w:rPr>
        <w:t>III. Breakdown of Operating Conditions Requirements for Typical Electrolyzer Equipment Customers</w:t>
      </w:r>
      <w:bookmarkEnd w:id="6"/>
    </w:p>
    <w:p w14:paraId="370ED5CB">
      <w:pPr>
        <w:spacing w:before="300" w:after="120" w:line="288" w:lineRule="auto"/>
        <w:ind w:left="0"/>
        <w:jc w:val="left"/>
        <w:outlineLvl w:val="2"/>
        <w:rPr>
          <w:rFonts w:hint="eastAsia" w:eastAsia="等线"/>
          <w:lang w:eastAsia="zh-CN"/>
        </w:rPr>
      </w:pPr>
      <w:bookmarkStart w:id="7" w:name="heading_7"/>
      <w:r>
        <w:rPr>
          <w:rFonts w:hint="eastAsia" w:ascii="Times New Roman" w:hAnsi="Arial" w:eastAsia="微软雅黑" w:cs="Arial"/>
          <w:b/>
          <w:sz w:val="30"/>
          <w:szCs w:val="22"/>
          <w:lang w:eastAsia="zh-CN"/>
        </w:rPr>
        <w:t>3.1 Overview of the Client Company</w:t>
      </w:r>
      <w:bookmarkEnd w:id="7"/>
    </w:p>
    <w:p w14:paraId="13F3EB26">
      <w:pPr>
        <w:spacing w:before="120" w:after="120" w:line="288" w:lineRule="auto"/>
        <w:ind w:left="0" w:firstLine="440" w:firstLineChars="200"/>
        <w:jc w:val="left"/>
        <w:rPr>
          <w:rFonts w:hint="eastAsia" w:eastAsia="等线"/>
          <w:lang w:eastAsia="zh-CN"/>
        </w:rPr>
      </w:pPr>
      <w:r>
        <w:rPr>
          <w:rFonts w:hint="eastAsia" w:ascii="Times New Roman" w:hAnsi="Arial" w:eastAsia="微软雅黑" w:cs="Arial"/>
          <w:sz w:val="22"/>
          <w:szCs w:val="22"/>
          <w:lang w:eastAsia="zh-CN"/>
        </w:rPr>
        <w:t>The client is a leading domestic manufacturer of complete electrolyzer systems, simultaneously deploying two production lines—one for alkaline ALK electrolysis and another for its proprietary PEM membrane technology; its product portfolio covers large-scale industrial hydrogen production units as well as medium-to-large high-pressure hydrogen production equipment, primarily targeting large-scale industrial green hydrogen production scenarios.</w:t>
      </w:r>
    </w:p>
    <w:p w14:paraId="04228C6D">
      <w:pPr>
        <w:spacing w:before="300" w:after="120" w:line="288" w:lineRule="auto"/>
        <w:ind w:left="0"/>
        <w:jc w:val="left"/>
        <w:outlineLvl w:val="2"/>
        <w:rPr>
          <w:rFonts w:hint="eastAsia" w:ascii="Arial" w:hAnsi="Arial" w:eastAsia="等线" w:cs="Arial"/>
          <w:b/>
          <w:sz w:val="30"/>
          <w:lang w:eastAsia="zh-CN"/>
        </w:rPr>
      </w:pPr>
      <w:bookmarkStart w:id="8" w:name="heading_8"/>
      <w:bookmarkStart w:id="39" w:name="_GoBack"/>
      <w:r>
        <w:rPr>
          <w:rFonts w:hint="eastAsia" w:ascii="Times New Roman" w:hAnsi="Arial" w:eastAsia="微软雅黑" w:cs="Arial"/>
          <w:b/>
          <w:sz w:val="30"/>
          <w:lang w:eastAsia="zh-CN"/>
        </w:rPr>
        <w:drawing>
          <wp:anchor distT="0" distB="0" distL="114300" distR="114300" simplePos="0" relativeHeight="251659264" behindDoc="0" locked="0" layoutInCell="1" allowOverlap="1">
            <wp:simplePos x="0" y="0"/>
            <wp:positionH relativeFrom="column">
              <wp:posOffset>1128395</wp:posOffset>
            </wp:positionH>
            <wp:positionV relativeFrom="paragraph">
              <wp:posOffset>413385</wp:posOffset>
            </wp:positionV>
            <wp:extent cx="2280285" cy="2134235"/>
            <wp:effectExtent l="0" t="0" r="0" b="18415"/>
            <wp:wrapNone/>
            <wp:docPr id="2" name="图片 2" descr="b42d0c94467d1642ff51549effb21410_52d60e694f87a2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42d0c94467d1642ff51549effb21410_52d60e694f87a2eb"/>
                    <pic:cNvPicPr>
                      <a:picLocks noChangeAspect="1"/>
                    </pic:cNvPicPr>
                  </pic:nvPicPr>
                  <pic:blipFill>
                    <a:blip r:embed="rId8"/>
                    <a:stretch>
                      <a:fillRect/>
                    </a:stretch>
                  </pic:blipFill>
                  <pic:spPr>
                    <a:xfrm>
                      <a:off x="0" y="0"/>
                      <a:ext cx="2280285" cy="2134235"/>
                    </a:xfrm>
                    <a:prstGeom prst="rect">
                      <a:avLst/>
                    </a:prstGeom>
                  </pic:spPr>
                </pic:pic>
              </a:graphicData>
            </a:graphic>
          </wp:anchor>
        </w:drawing>
      </w:r>
      <w:bookmarkEnd w:id="39"/>
      <w:r>
        <w:rPr>
          <w:rFonts w:hint="eastAsia" w:ascii="Times New Roman" w:hAnsi="Arial" w:eastAsia="微软雅黑" w:cs="Arial"/>
          <w:b/>
          <w:sz w:val="30"/>
          <w:szCs w:val="22"/>
          <w:lang w:eastAsia="zh-CN"/>
        </w:rPr>
        <w:t>3.2 Current on-site application conditions for disc springs</w:t>
      </w:r>
      <w:bookmarkEnd w:id="8"/>
    </w:p>
    <w:p w14:paraId="2974ED07">
      <w:pPr>
        <w:spacing w:before="300" w:after="120" w:line="288" w:lineRule="auto"/>
        <w:ind w:left="0"/>
        <w:jc w:val="left"/>
        <w:outlineLvl w:val="2"/>
        <w:rPr>
          <w:rFonts w:hint="eastAsia" w:ascii="Arial" w:hAnsi="Arial" w:eastAsia="等线" w:cs="Arial"/>
          <w:b/>
          <w:sz w:val="30"/>
          <w:lang w:eastAsia="zh-CN"/>
        </w:rPr>
      </w:pPr>
    </w:p>
    <w:p w14:paraId="19035DEF">
      <w:pPr>
        <w:spacing w:before="300" w:after="120" w:line="288" w:lineRule="auto"/>
        <w:ind w:left="0"/>
        <w:jc w:val="left"/>
        <w:outlineLvl w:val="2"/>
        <w:rPr>
          <w:rFonts w:hint="eastAsia" w:ascii="Arial" w:hAnsi="Arial" w:eastAsia="等线" w:cs="Arial"/>
          <w:b/>
          <w:sz w:val="30"/>
          <w:lang w:eastAsia="zh-CN"/>
        </w:rPr>
      </w:pPr>
    </w:p>
    <w:p w14:paraId="72BD3891">
      <w:pPr>
        <w:spacing w:before="300" w:after="120" w:line="288" w:lineRule="auto"/>
        <w:ind w:left="0"/>
        <w:jc w:val="left"/>
        <w:outlineLvl w:val="2"/>
        <w:rPr>
          <w:rFonts w:hint="eastAsia" w:ascii="Arial" w:hAnsi="Arial" w:eastAsia="等线" w:cs="Arial"/>
          <w:b/>
          <w:sz w:val="30"/>
          <w:lang w:eastAsia="zh-CN"/>
        </w:rPr>
      </w:pPr>
    </w:p>
    <w:p w14:paraId="08C0B613">
      <w:pPr>
        <w:spacing w:before="300" w:after="120" w:line="288" w:lineRule="auto"/>
        <w:ind w:left="0"/>
        <w:jc w:val="left"/>
        <w:outlineLvl w:val="2"/>
        <w:rPr>
          <w:rFonts w:hint="eastAsia" w:ascii="Arial" w:hAnsi="Arial" w:eastAsia="等线" w:cs="Arial"/>
          <w:b/>
          <w:sz w:val="30"/>
          <w:lang w:eastAsia="zh-CN"/>
        </w:rPr>
      </w:pPr>
    </w:p>
    <w:p w14:paraId="2F836C0C">
      <w:pPr>
        <w:spacing w:before="300" w:after="120" w:line="288" w:lineRule="auto"/>
        <w:ind w:left="0"/>
        <w:jc w:val="left"/>
        <w:outlineLvl w:val="2"/>
        <w:rPr>
          <w:rFonts w:hint="eastAsia" w:ascii="Arial" w:hAnsi="Arial" w:eastAsia="等线" w:cs="Arial"/>
          <w:b/>
          <w:sz w:val="30"/>
          <w:lang w:eastAsia="zh-CN"/>
        </w:rPr>
      </w:pPr>
    </w:p>
    <w:p w14:paraId="2F536A7F">
      <w:pPr>
        <w:numPr>
          <w:ilvl w:val="0"/>
          <w:numId w:val="4"/>
        </w:numPr>
        <w:spacing w:before="120" w:after="120" w:line="288" w:lineRule="auto"/>
        <w:ind w:left="425" w:leftChars="0" w:hanging="425" w:firstLineChars="0"/>
        <w:jc w:val="left"/>
      </w:pPr>
      <w:r>
        <w:rPr>
          <w:rFonts w:hint="eastAsia" w:ascii="Times New Roman" w:hAnsi="Arial" w:eastAsia="微软雅黑" w:cs="Arial"/>
          <w:sz w:val="22"/>
          <w:szCs w:val="22"/>
          <w:lang w:eastAsia="zh-CN"/>
        </w:rPr>
        <w:t>Product specifications: Large outer diameter heavy-duty disc spring; its inner and outer diameters and thickness fall within the general heavy-duty size range for high-power electrolysis cells;</w:t>
      </w:r>
    </w:p>
    <w:p w14:paraId="5ED86E70">
      <w:pPr>
        <w:numPr>
          <w:ilvl w:val="0"/>
          <w:numId w:val="4"/>
        </w:numPr>
        <w:spacing w:before="120" w:after="120" w:line="288" w:lineRule="auto"/>
        <w:ind w:left="425" w:leftChars="0" w:hanging="425" w:firstLineChars="0"/>
        <w:jc w:val="left"/>
      </w:pPr>
      <w:r>
        <w:rPr>
          <w:rFonts w:hint="eastAsia" w:ascii="Times New Roman" w:hAnsi="Arial" w:eastAsia="微软雅黑" w:cs="Arial"/>
          <w:sz w:val="22"/>
          <w:szCs w:val="22"/>
          <w:lang w:eastAsia="zh-CN"/>
        </w:rPr>
        <w:t>Original supporting materials: conventional spring steel;</w:t>
      </w:r>
    </w:p>
    <w:p w14:paraId="73100FC4">
      <w:pPr>
        <w:numPr>
          <w:ilvl w:val="0"/>
          <w:numId w:val="4"/>
        </w:numPr>
        <w:spacing w:before="120" w:after="120" w:line="288" w:lineRule="auto"/>
        <w:ind w:left="425" w:leftChars="0" w:hanging="425" w:firstLineChars="0"/>
        <w:jc w:val="left"/>
      </w:pPr>
      <w:r>
        <w:rPr>
          <w:rFonts w:hint="eastAsia" w:ascii="Times New Roman" w:hAnsi="Arial" w:eastAsia="微软雅黑" w:cs="Arial"/>
          <w:sz w:val="22"/>
          <w:szCs w:val="22"/>
          <w:lang w:eastAsia="zh-CN"/>
        </w:rPr>
        <w:t>Assembly configuration: A multi-piece stacked assembly arranged on the outer side of the end plate, utilizing a matching positioning slot structure to achieve radial limiting;</w:t>
      </w:r>
    </w:p>
    <w:p w14:paraId="6436CD52">
      <w:pPr>
        <w:numPr>
          <w:ilvl w:val="0"/>
          <w:numId w:val="4"/>
        </w:numPr>
        <w:spacing w:before="120" w:after="120" w:line="288" w:lineRule="auto"/>
        <w:ind w:left="425" w:leftChars="0" w:hanging="425" w:firstLineChars="0"/>
        <w:jc w:val="left"/>
      </w:pPr>
      <w:r>
        <w:rPr>
          <w:rFonts w:hint="eastAsia" w:ascii="Times New Roman" w:hAnsi="Arial" w:eastAsia="微软雅黑" w:cs="Arial"/>
          <w:sz w:val="22"/>
          <w:szCs w:val="22"/>
          <w:lang w:eastAsia="zh-CN"/>
        </w:rPr>
        <w:t>Electrochemical stack fastening structure: a central tensioning layout utilizing multiple tensioning bolts, with uniform clamping applied to each individual stack;</w:t>
      </w:r>
    </w:p>
    <w:p w14:paraId="10D39D11">
      <w:pPr>
        <w:numPr>
          <w:ilvl w:val="0"/>
          <w:numId w:val="4"/>
        </w:numPr>
        <w:spacing w:before="120" w:after="120" w:line="288" w:lineRule="auto"/>
        <w:ind w:left="425" w:leftChars="0" w:hanging="425" w:firstLineChars="0"/>
        <w:jc w:val="left"/>
      </w:pPr>
      <w:r>
        <w:rPr>
          <w:rFonts w:hint="eastAsia" w:ascii="Times New Roman" w:hAnsi="Arial" w:eastAsia="微软雅黑" w:cs="Arial"/>
          <w:sz w:val="22"/>
          <w:szCs w:val="22"/>
          <w:lang w:eastAsia="zh-CN"/>
        </w:rPr>
        <w:t>Operating conditions: The equipment is designed for a high clamping load, with the compression ratio of the disc spring assembly approaching the extreme compression range;</w:t>
      </w:r>
    </w:p>
    <w:p w14:paraId="3F9311F1">
      <w:pPr>
        <w:numPr>
          <w:ilvl w:val="0"/>
          <w:numId w:val="4"/>
        </w:numPr>
        <w:spacing w:before="120" w:after="120" w:line="288" w:lineRule="auto"/>
        <w:ind w:left="425" w:leftChars="0" w:hanging="425" w:firstLineChars="0"/>
        <w:jc w:val="left"/>
      </w:pPr>
      <w:r>
        <w:rPr>
          <w:rFonts w:hint="eastAsia" w:ascii="Times New Roman" w:hAnsi="Arial" w:eastAsia="微软雅黑" w:cs="Arial"/>
          <w:sz w:val="22"/>
          <w:szCs w:val="22"/>
          <w:lang w:eastAsia="zh-CN"/>
        </w:rPr>
        <w:t>Current operational status: The product's design service life is long; however, during operation, significant creep-induced degradation occurs, necessitating occasional shutdowns to retighten bolts and compensate for pressure loss.</w:t>
      </w:r>
    </w:p>
    <w:p w14:paraId="71F7FDAD">
      <w:pPr>
        <w:spacing w:before="300" w:after="120" w:line="288" w:lineRule="auto"/>
        <w:ind w:left="0"/>
        <w:jc w:val="left"/>
        <w:outlineLvl w:val="2"/>
        <w:rPr>
          <w:rFonts w:hint="eastAsia" w:eastAsia="等线"/>
          <w:lang w:eastAsia="zh-CN"/>
        </w:rPr>
      </w:pPr>
      <w:bookmarkStart w:id="9" w:name="heading_9"/>
      <w:r>
        <w:rPr>
          <w:rFonts w:hint="eastAsia" w:ascii="Times New Roman" w:hAnsi="Arial" w:eastAsia="微软雅黑" w:cs="Arial"/>
          <w:b/>
          <w:sz w:val="30"/>
          <w:szCs w:val="22"/>
          <w:lang w:eastAsia="zh-CN"/>
        </w:rPr>
        <w:t>3.3 Customer Core Technology Pain Points</w:t>
      </w:r>
      <w:bookmarkEnd w:id="9"/>
    </w:p>
    <w:p w14:paraId="4AC9B2FD">
      <w:pPr>
        <w:numPr>
          <w:ilvl w:val="0"/>
          <w:numId w:val="5"/>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The dimensional tolerance control for externally purchased disc springs is lenient; within the same batch, there are significant fluctuations in free height and thickness; after stacking, the load deviation exceeds the specified limits; consequently, achieving satisfactory pressure uniformity across the stack proves challenging.</w:t>
      </w:r>
    </w:p>
    <w:p w14:paraId="1372A78C">
      <w:pPr>
        <w:numPr>
          <w:ilvl w:val="0"/>
          <w:numId w:val="5"/>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Under high-load-limit compression operating conditions, the material exhibits significant creep behavior, and frequent shutdowns for re-tightening lead to a loss of production capacity;</w:t>
      </w:r>
    </w:p>
    <w:p w14:paraId="1C3A195C">
      <w:pPr>
        <w:numPr>
          <w:ilvl w:val="0"/>
          <w:numId w:val="5"/>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Under PEM high-pressure hydrogen operating conditions, conventional spring steel exhibits insufficient resistance to hydrogen embrittlement, posing a fracture safety risk during long-term operation;</w:t>
      </w:r>
    </w:p>
    <w:p w14:paraId="4AC35E78">
      <w:pPr>
        <w:numPr>
          <w:ilvl w:val="0"/>
          <w:numId w:val="5"/>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Traditional standardized supporting products cannot optimize the cone billet's structure or heat treatment process to meet the customer's heavy-duty operating conditions, nor do they offer customized solutions;</w:t>
      </w:r>
    </w:p>
    <w:p w14:paraId="3E49DB73">
      <w:pPr>
        <w:numPr>
          <w:ilvl w:val="0"/>
          <w:numId w:val="5"/>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Supplier qualification requirements mandate a full set of type tests; however, these tests involve lengthy durations, and their extended delivery timelines can easily delay the project's commissioning schedule.</w:t>
      </w:r>
    </w:p>
    <w:p w14:paraId="42516F42">
      <w:pPr>
        <w:spacing w:before="300" w:after="120" w:line="288" w:lineRule="auto"/>
        <w:ind w:left="0"/>
        <w:jc w:val="left"/>
        <w:outlineLvl w:val="2"/>
        <w:rPr>
          <w:rFonts w:hint="eastAsia" w:eastAsia="等线"/>
          <w:lang w:eastAsia="zh-CN"/>
        </w:rPr>
      </w:pPr>
      <w:bookmarkStart w:id="10" w:name="heading_10"/>
      <w:r>
        <w:rPr>
          <w:rFonts w:hint="eastAsia" w:ascii="Times New Roman" w:hAnsi="Arial" w:eastAsia="微软雅黑" w:cs="Arial"/>
          <w:b/>
          <w:sz w:val="30"/>
          <w:szCs w:val="22"/>
          <w:lang w:eastAsia="zh-CN"/>
        </w:rPr>
        <w:t>3.4 Customer Selection Criteria Priority</w:t>
      </w:r>
      <w:bookmarkEnd w:id="10"/>
    </w:p>
    <w:p w14:paraId="784393C8">
      <w:pPr>
        <w:spacing w:before="120" w:after="120" w:line="288" w:lineRule="auto"/>
        <w:ind w:left="0"/>
        <w:jc w:val="left"/>
        <w:rPr>
          <w:rFonts w:hint="eastAsia" w:eastAsia="等线"/>
          <w:lang w:eastAsia="zh-CN"/>
        </w:rPr>
      </w:pPr>
      <w:r>
        <w:rPr>
          <w:rFonts w:hint="eastAsia" w:ascii="Times New Roman" w:hAnsi="Arial" w:eastAsia="微软雅黑" w:cs="Arial"/>
          <w:sz w:val="22"/>
          <w:szCs w:val="22"/>
          <w:lang w:eastAsia="zh-CN"/>
        </w:rPr>
        <w:t>① Load stability ② Dimensional consistency ③ Low permanent deformation / Creep resistance ④ Fatigue life</w:t>
      </w:r>
    </w:p>
    <w:p w14:paraId="59245D6B">
      <w:pPr>
        <w:spacing w:before="300" w:after="120" w:line="288" w:lineRule="auto"/>
        <w:ind w:left="0"/>
        <w:jc w:val="left"/>
        <w:outlineLvl w:val="2"/>
        <w:rPr>
          <w:rFonts w:hint="eastAsia" w:eastAsia="等线"/>
          <w:lang w:eastAsia="zh-CN"/>
        </w:rPr>
      </w:pPr>
      <w:bookmarkStart w:id="11" w:name="heading_11"/>
      <w:r>
        <w:rPr>
          <w:rFonts w:hint="eastAsia" w:ascii="Times New Roman" w:hAnsi="Arial" w:eastAsia="微软雅黑" w:cs="Arial"/>
          <w:b/>
          <w:sz w:val="30"/>
          <w:szCs w:val="22"/>
          <w:lang w:eastAsia="zh-CN"/>
        </w:rPr>
        <w:t>3.5 Key Customer Collaboration Requirements</w:t>
      </w:r>
      <w:bookmarkEnd w:id="11"/>
    </w:p>
    <w:p w14:paraId="3FFAE30D">
      <w:pPr>
        <w:numPr>
          <w:ilvl w:val="0"/>
          <w:numId w:val="6"/>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Optimize the overall supporting procurement cost under the premise of equivalent performance specifications;</w:t>
      </w:r>
    </w:p>
    <w:p w14:paraId="2137C00D">
      <w:pPr>
        <w:numPr>
          <w:ilvl w:val="0"/>
          <w:numId w:val="6"/>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By upgrading the manufacturing process, the dimensional tolerances of the disc springs are reduced, thereby improving the load consistency within the same batch;</w:t>
      </w:r>
    </w:p>
    <w:p w14:paraId="11ACC21F">
      <w:pPr>
        <w:numPr>
          <w:ilvl w:val="0"/>
          <w:numId w:val="6"/>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Provides a complete set of factory-type test and inspection data, fully meeting the requirements for the customer's internal access audit;</w:t>
      </w:r>
    </w:p>
    <w:p w14:paraId="21665175">
      <w:pPr>
        <w:numPr>
          <w:ilvl w:val="0"/>
          <w:numId w:val="6"/>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Opening up joint development channels to specifically address the industry challenge of long-term creep relaxation in high-load composite disc springs.</w:t>
      </w:r>
    </w:p>
    <w:p w14:paraId="1F601ADB">
      <w:pPr>
        <w:spacing w:before="320" w:after="120" w:line="288" w:lineRule="auto"/>
        <w:ind w:left="0"/>
        <w:jc w:val="left"/>
        <w:outlineLvl w:val="1"/>
        <w:rPr>
          <w:rFonts w:hint="eastAsia" w:eastAsia="等线"/>
          <w:lang w:eastAsia="zh-CN"/>
        </w:rPr>
      </w:pPr>
      <w:bookmarkStart w:id="12" w:name="heading_12"/>
      <w:r>
        <w:rPr>
          <w:rFonts w:hint="eastAsia" w:ascii="Times New Roman" w:hAnsi="Arial" w:eastAsia="微软雅黑" w:cs="Arial"/>
          <w:b/>
          <w:sz w:val="32"/>
          <w:szCs w:val="22"/>
          <w:lang w:eastAsia="zh-CN"/>
        </w:rPr>
        <w:t>IV. Customized Full-Solution Package for Overloaded High-Preload Electrolysis Cell Disc Springs</w:t>
      </w:r>
      <w:bookmarkEnd w:id="12"/>
    </w:p>
    <w:p w14:paraId="40C328EF">
      <w:pPr>
        <w:spacing w:before="120" w:after="120" w:line="288" w:lineRule="auto"/>
        <w:ind w:left="0" w:firstLine="440" w:firstLineChars="200"/>
        <w:jc w:val="left"/>
        <w:rPr>
          <w:rFonts w:hint="eastAsia" w:ascii="Arial" w:hAnsi="Arial" w:eastAsia="等线" w:cs="Arial"/>
          <w:sz w:val="22"/>
          <w:lang w:eastAsia="zh-CN"/>
        </w:rPr>
      </w:pPr>
      <w:r>
        <w:rPr>
          <w:rFonts w:hint="eastAsia" w:ascii="Times New Roman" w:hAnsi="Arial" w:eastAsia="微软雅黑" w:cs="Arial"/>
          <w:sz w:val="22"/>
          <w:szCs w:val="22"/>
          <w:lang w:eastAsia="zh-CN"/>
        </w:rPr>
        <w:t xml:space="preserve">To address the high-load, multi-sheet stacking, and extreme compression operating conditions inherent in high-power electrolyzers, Jiangsu </w:t>
      </w:r>
      <w:r>
        <w:rPr>
          <w:rFonts w:hint="eastAsia" w:hAnsi="Arial" w:eastAsia="微软雅黑" w:cs="Arial"/>
          <w:sz w:val="22"/>
          <w:szCs w:val="22"/>
          <w:lang w:eastAsia="zh-CN"/>
        </w:rPr>
        <w:t>Sunzo</w:t>
      </w:r>
      <w:r>
        <w:rPr>
          <w:rFonts w:hint="eastAsia" w:ascii="Times New Roman" w:hAnsi="Arial" w:eastAsia="微软雅黑" w:cs="Arial"/>
          <w:sz w:val="22"/>
          <w:szCs w:val="22"/>
          <w:lang w:eastAsia="zh-CN"/>
        </w:rPr>
        <w:t xml:space="preserve"> has introduced a specialized integrated disc spring solution designed for heavy-duty, low creep resistance against hydrogen embrittlement, providing comprehensive coverage of all technical challenges faced by customers.</w:t>
      </w:r>
    </w:p>
    <w:p w14:paraId="7A834DEC">
      <w:pPr>
        <w:spacing w:before="120" w:after="120" w:line="288" w:lineRule="auto"/>
        <w:ind w:left="0" w:firstLine="440" w:firstLineChars="200"/>
        <w:jc w:val="left"/>
        <w:rPr>
          <w:rFonts w:ascii="Arial" w:hAnsi="Arial" w:eastAsia="等线" w:cs="Arial"/>
          <w:sz w:val="22"/>
        </w:rPr>
      </w:pPr>
    </w:p>
    <w:p w14:paraId="17199B40">
      <w:pPr>
        <w:spacing w:before="120" w:after="120" w:line="288" w:lineRule="auto"/>
        <w:ind w:left="0" w:firstLine="440" w:firstLineChars="200"/>
        <w:jc w:val="left"/>
        <w:rPr>
          <w:rFonts w:ascii="Arial" w:hAnsi="Arial" w:eastAsia="等线" w:cs="Arial"/>
          <w:sz w:val="22"/>
        </w:rPr>
      </w:pPr>
    </w:p>
    <w:p w14:paraId="2749E86C">
      <w:pPr>
        <w:spacing w:before="120" w:after="120" w:line="288" w:lineRule="auto"/>
        <w:ind w:left="0" w:firstLine="440" w:firstLineChars="200"/>
        <w:jc w:val="center"/>
        <w:rPr>
          <w:rFonts w:ascii="Arial" w:hAnsi="Arial" w:eastAsia="等线" w:cs="Arial"/>
          <w:sz w:val="22"/>
        </w:rPr>
      </w:pPr>
      <w:r>
        <w:rPr>
          <w:rFonts w:hint="eastAsia" w:ascii="Arial" w:hAnsi="Arial" w:eastAsia="等线" w:cs="Arial"/>
          <w:sz w:val="22"/>
          <w:lang w:eastAsia="zh-CN"/>
        </w:rPr>
        <w:drawing>
          <wp:inline distT="0" distB="0" distL="114300" distR="114300">
            <wp:extent cx="4178935" cy="2425065"/>
            <wp:effectExtent l="0" t="0" r="12065" b="13335"/>
            <wp:docPr id="6" name="图片 6" descr="氢能行业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氢能行业图"/>
                    <pic:cNvPicPr>
                      <a:picLocks noChangeAspect="1"/>
                    </pic:cNvPicPr>
                  </pic:nvPicPr>
                  <pic:blipFill>
                    <a:blip r:embed="rId9"/>
                    <a:stretch>
                      <a:fillRect/>
                    </a:stretch>
                  </pic:blipFill>
                  <pic:spPr>
                    <a:xfrm>
                      <a:off x="0" y="0"/>
                      <a:ext cx="4178935" cy="2425065"/>
                    </a:xfrm>
                    <a:prstGeom prst="rect">
                      <a:avLst/>
                    </a:prstGeom>
                  </pic:spPr>
                </pic:pic>
              </a:graphicData>
            </a:graphic>
          </wp:inline>
        </w:drawing>
      </w:r>
    </w:p>
    <w:p w14:paraId="7AE8F8F7">
      <w:pPr>
        <w:spacing w:before="300" w:after="120" w:line="288" w:lineRule="auto"/>
        <w:ind w:left="0"/>
        <w:jc w:val="left"/>
        <w:outlineLvl w:val="2"/>
        <w:rPr>
          <w:rFonts w:hint="eastAsia" w:eastAsia="等线"/>
          <w:lang w:eastAsia="zh-CN"/>
        </w:rPr>
      </w:pPr>
      <w:bookmarkStart w:id="13" w:name="heading_13"/>
      <w:r>
        <w:rPr>
          <w:rFonts w:hint="eastAsia" w:ascii="Times New Roman" w:hAnsi="Arial" w:eastAsia="微软雅黑" w:cs="Arial"/>
          <w:b/>
          <w:sz w:val="30"/>
          <w:szCs w:val="22"/>
          <w:lang w:eastAsia="zh-CN"/>
        </w:rPr>
        <w:t>4.1 Dual-Line Material Upgrading Solution</w:t>
      </w:r>
      <w:bookmarkEnd w:id="13"/>
    </w:p>
    <w:p w14:paraId="6FB06409">
      <w:pPr>
        <w:spacing w:before="260" w:after="120" w:line="288" w:lineRule="auto"/>
        <w:ind w:left="0"/>
        <w:jc w:val="left"/>
        <w:outlineLvl w:val="3"/>
        <w:rPr>
          <w:rFonts w:hint="eastAsia" w:eastAsia="等线"/>
          <w:lang w:eastAsia="zh-CN"/>
        </w:rPr>
      </w:pPr>
      <w:bookmarkStart w:id="14" w:name="heading_14"/>
      <w:r>
        <w:rPr>
          <w:rFonts w:hint="eastAsia" w:ascii="Times New Roman" w:hAnsi="Arial" w:eastAsia="微软雅黑" w:cs="Arial"/>
          <w:b/>
          <w:sz w:val="28"/>
          <w:szCs w:val="22"/>
          <w:lang w:eastAsia="zh-CN"/>
        </w:rPr>
        <w:t>Optio</w:t>
      </w:r>
      <w:bookmarkEnd w:id="14"/>
      <w:r>
        <w:rPr>
          <w:rFonts w:hint="eastAsia" w:ascii="Times New Roman" w:hAnsi="Arial" w:eastAsia="微软雅黑" w:cs="Arial"/>
          <w:b/>
          <w:sz w:val="28"/>
          <w:szCs w:val="22"/>
          <w:lang w:eastAsia="zh-CN"/>
        </w:rPr>
        <w:t>n A: High-purity spring steel series specifically designed for alkaline ALK electrolysis cells</w:t>
      </w:r>
    </w:p>
    <w:p w14:paraId="6C4380B3">
      <w:pPr>
        <w:spacing w:before="120" w:after="120" w:line="288" w:lineRule="auto"/>
        <w:ind w:left="0" w:firstLine="440" w:firstLineChars="200"/>
        <w:jc w:val="left"/>
        <w:rPr>
          <w:rFonts w:hint="eastAsia" w:ascii="Arial" w:hAnsi="Arial" w:eastAsia="等线" w:cs="Arial"/>
          <w:sz w:val="22"/>
          <w:lang w:eastAsia="zh-CN"/>
        </w:rPr>
      </w:pPr>
      <w:r>
        <w:rPr>
          <w:rFonts w:hint="eastAsia" w:ascii="Times New Roman" w:hAnsi="Arial" w:eastAsia="微软雅黑" w:cs="Arial"/>
          <w:sz w:val="22"/>
          <w:szCs w:val="22"/>
          <w:lang w:eastAsia="zh-CN"/>
        </w:rPr>
        <w:t>Utilizing ultra-pure spring steel raw materials combined with a proprietary quenching and tempering heat treatment process, this product employs a standardized production workflow to rigorously ensure excellent resistance to strong alkali corrosion, low creep properties, and cost-effectiveness for large-scale equipment applications, making it ideal for continuous hydrogen production systems with large standard volumes.</w:t>
      </w:r>
    </w:p>
    <w:p w14:paraId="4D798B3F">
      <w:pPr>
        <w:spacing w:before="260" w:after="120" w:line="288" w:lineRule="auto"/>
        <w:ind w:left="0"/>
        <w:jc w:val="left"/>
        <w:outlineLvl w:val="3"/>
        <w:rPr>
          <w:rFonts w:hint="eastAsia" w:eastAsia="等线"/>
          <w:lang w:eastAsia="zh-CN"/>
        </w:rPr>
      </w:pPr>
      <w:bookmarkStart w:id="15" w:name="heading_15"/>
      <w:r>
        <w:rPr>
          <w:rFonts w:hint="eastAsia" w:ascii="Times New Roman" w:hAnsi="Arial" w:eastAsia="微软雅黑" w:cs="Arial"/>
          <w:b/>
          <w:sz w:val="28"/>
          <w:szCs w:val="22"/>
          <w:lang w:eastAsia="zh-CN"/>
        </w:rPr>
        <w:t>Optio</w:t>
      </w:r>
      <w:bookmarkEnd w:id="15"/>
      <w:r>
        <w:rPr>
          <w:rFonts w:hint="eastAsia" w:ascii="Times New Roman" w:hAnsi="Arial" w:eastAsia="微软雅黑" w:cs="Arial"/>
          <w:b/>
          <w:sz w:val="28"/>
          <w:szCs w:val="22"/>
          <w:lang w:eastAsia="zh-CN"/>
        </w:rPr>
        <w:t>n B: PEM High-Pressure Electrolyzer Spring Steel Disc Spring Series</w:t>
      </w:r>
    </w:p>
    <w:p w14:paraId="2C878D51">
      <w:pPr>
        <w:spacing w:before="120" w:after="120" w:line="288" w:lineRule="auto"/>
        <w:ind w:left="0" w:firstLine="440" w:firstLineChars="200"/>
        <w:jc w:val="left"/>
        <w:rPr>
          <w:rFonts w:hint="eastAsia" w:ascii="Arial" w:hAnsi="Arial" w:eastAsia="等线" w:cs="Arial"/>
          <w:sz w:val="22"/>
          <w:lang w:eastAsia="zh-CN"/>
        </w:rPr>
      </w:pPr>
      <w:bookmarkStart w:id="16" w:name="heading_16"/>
      <w:r>
        <w:rPr>
          <w:rFonts w:hint="eastAsia" w:ascii="Times New Roman" w:hAnsi="Arial" w:eastAsia="微软雅黑" w:cs="Arial"/>
          <w:sz w:val="22"/>
          <w:szCs w:val="22"/>
          <w:lang w:eastAsia="zh-CN"/>
        </w:rPr>
        <w:t>This product utilizes high-quality spring steel substrate paired with a Dacron corrosion-resistant coating, combined with a standardized surface treatment process to resist moisture and corrosive media; it effectively controls high-temperature stress relaxation, making it suitable for high-pressure hydrogen environments and conditions involving frequent start-stop cycles, thereby ensuring long-term uniform compression of the proton exchange membrane, mitigating the risk of elastic failure during prolonged operation, and supporting integration with membrane electrode insulation solutions.</w:t>
      </w:r>
      <w:bookmarkEnd w:id="16"/>
    </w:p>
    <w:p w14:paraId="5F66E0F4">
      <w:pPr>
        <w:spacing w:before="300" w:after="120" w:line="288" w:lineRule="auto"/>
        <w:ind w:left="0"/>
        <w:jc w:val="left"/>
        <w:outlineLvl w:val="2"/>
        <w:rPr>
          <w:rFonts w:hint="eastAsia" w:eastAsia="等线"/>
          <w:lang w:eastAsia="zh-CN"/>
        </w:rPr>
      </w:pPr>
      <w:r>
        <w:rPr>
          <w:rFonts w:hint="eastAsia" w:ascii="Times New Roman" w:hAnsi="Arial" w:eastAsia="微软雅黑" w:cs="Arial"/>
          <w:b/>
          <w:sz w:val="30"/>
          <w:szCs w:val="22"/>
          <w:lang w:eastAsia="zh-CN"/>
        </w:rPr>
        <w:t>4.2 Special Optimization Plan for Dimensional Tolerances</w:t>
      </w:r>
    </w:p>
    <w:p w14:paraId="1983A2B1">
      <w:pPr>
        <w:numPr>
          <w:ilvl w:val="0"/>
          <w:numId w:val="7"/>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The precision forging process for conical blanks features strict control over the flatness of the disc spring support surface, with thickness tolerances that exceed industry general standards;</w:t>
      </w:r>
    </w:p>
    <w:p w14:paraId="3F5E5A01">
      <w:pPr>
        <w:numPr>
          <w:ilvl w:val="0"/>
          <w:numId w:val="7"/>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A fully automated full-assembly load sorting system for finished products; the disc spring load deviation within the same batch is controlled within ±3%, significantly improving the overall pressure uniformity of multi-bolt stacks;</w:t>
      </w:r>
    </w:p>
    <w:p w14:paraId="362C4B94">
      <w:pPr>
        <w:numPr>
          <w:ilvl w:val="0"/>
          <w:numId w:val="7"/>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The dimensional closed-loop control system is designed to match the positioning slot structure of the client plate, ensuring assembly without jamming or radial displacement friction, thereby reducing the generation of end-face wear debris.</w:t>
      </w:r>
    </w:p>
    <w:p w14:paraId="4024B919">
      <w:pPr>
        <w:spacing w:before="300" w:after="120" w:line="288" w:lineRule="auto"/>
        <w:ind w:left="0"/>
        <w:jc w:val="left"/>
        <w:outlineLvl w:val="2"/>
        <w:rPr>
          <w:rFonts w:hint="eastAsia" w:eastAsia="等线"/>
          <w:lang w:eastAsia="zh-CN"/>
        </w:rPr>
      </w:pPr>
      <w:bookmarkStart w:id="17" w:name="heading_17"/>
      <w:r>
        <w:rPr>
          <w:rFonts w:hint="eastAsia" w:ascii="Times New Roman" w:hAnsi="Arial" w:eastAsia="微软雅黑" w:cs="Arial"/>
          <w:b/>
          <w:sz w:val="30"/>
          <w:szCs w:val="22"/>
          <w:lang w:eastAsia="zh-CN"/>
        </w:rPr>
        <w:t>4.3 Optimization Design of Composite Hybrid Structures</w:t>
      </w:r>
      <w:bookmarkEnd w:id="17"/>
    </w:p>
    <w:p w14:paraId="652A7B3C">
      <w:pPr>
        <w:numPr>
          <w:ilvl w:val="0"/>
          <w:numId w:val="8"/>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The finite element-based multi-physics field simulation is employed to simulate the force-displacement curves of multiple stacked components, optimize the conical taper ratio of the disc springs, and prevent stress concentration-induced cracking under extreme compression conditions;</w:t>
      </w:r>
    </w:p>
    <w:p w14:paraId="19D01D6C">
      <w:pPr>
        <w:numPr>
          <w:ilvl w:val="0"/>
          <w:numId w:val="8"/>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The disc spring contact surfaces are coated with a dry low-friction and wear-resistant coating, which reduces mutual frictional losses between the laminations, prevents the shedding of metal debris, meets the clean-medium operating requirements for hydrogen production equipment, and eliminates the need for assembly lubrication grease;</w:t>
      </w:r>
    </w:p>
    <w:p w14:paraId="7B7BEFAB">
      <w:pPr>
        <w:numPr>
          <w:ilvl w:val="0"/>
          <w:numId w:val="8"/>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The load curve is matched to the customer's specified clamping force range, significantly reducing the creep attenuation at the ultimate compression level and substantially extending the bolt retightening cycle.</w:t>
      </w:r>
    </w:p>
    <w:p w14:paraId="24200BF1">
      <w:pPr>
        <w:spacing w:before="300" w:after="120" w:line="288" w:lineRule="auto"/>
        <w:ind w:left="0"/>
        <w:jc w:val="left"/>
        <w:outlineLvl w:val="2"/>
        <w:rPr>
          <w:rFonts w:hint="eastAsia" w:eastAsia="等线"/>
          <w:lang w:eastAsia="zh-CN"/>
        </w:rPr>
      </w:pPr>
      <w:bookmarkStart w:id="18" w:name="heading_18"/>
      <w:r>
        <w:rPr>
          <w:rFonts w:hint="eastAsia" w:ascii="Times New Roman" w:hAnsi="Arial" w:eastAsia="微软雅黑" w:cs="Arial"/>
          <w:b/>
          <w:sz w:val="30"/>
          <w:szCs w:val="22"/>
          <w:lang w:eastAsia="zh-CN"/>
        </w:rPr>
        <w:t>4.4 Full set of type test results and corresponding delivery</w:t>
      </w:r>
      <w:bookmarkEnd w:id="18"/>
    </w:p>
    <w:p w14:paraId="6A4968F2">
      <w:pPr>
        <w:spacing w:before="120" w:after="120" w:line="288" w:lineRule="auto"/>
        <w:ind w:left="0" w:firstLine="440" w:firstLineChars="200"/>
        <w:jc w:val="left"/>
        <w:rPr>
          <w:rFonts w:hint="eastAsia" w:eastAsia="等线"/>
          <w:lang w:eastAsia="zh-CN"/>
        </w:rPr>
      </w:pPr>
      <w:r>
        <w:rPr>
          <w:rFonts w:hint="eastAsia" w:ascii="Times New Roman" w:hAnsi="Arial" w:eastAsia="微软雅黑" w:cs="Arial"/>
          <w:sz w:val="22"/>
          <w:szCs w:val="22"/>
          <w:lang w:eastAsia="zh-CN"/>
        </w:rPr>
        <w:t>Complete sets of internal testing reports will be provided simultaneously with the test samples and batch products; these reports may include a comprehensive suite of test data, such as: metallographic microstructure of raw materials, hardness testing, load–deformation characteristic curves, 10,000-cycle fatigue life testing, 1,000-hour neutral salt spray corrosion testing, high-temperature creep relaxation testing, and hydrogen embrittlement stress testing; if third-party authoritative testing is required, we can assist the client in coordinating with external testing institutions to conduct the tests.</w:t>
      </w:r>
    </w:p>
    <w:p w14:paraId="668EF6BF">
      <w:pPr>
        <w:spacing w:before="300" w:after="120" w:line="288" w:lineRule="auto"/>
        <w:ind w:left="0"/>
        <w:jc w:val="left"/>
        <w:outlineLvl w:val="2"/>
        <w:rPr>
          <w:rFonts w:hint="eastAsia" w:eastAsia="等线"/>
          <w:lang w:eastAsia="zh-CN"/>
        </w:rPr>
      </w:pPr>
      <w:bookmarkStart w:id="19" w:name="heading_19"/>
      <w:r>
        <w:rPr>
          <w:rFonts w:hint="eastAsia" w:ascii="Times New Roman" w:hAnsi="Arial" w:eastAsia="微软雅黑" w:cs="Arial"/>
          <w:b/>
          <w:sz w:val="30"/>
          <w:szCs w:val="22"/>
          <w:lang w:eastAsia="zh-CN"/>
        </w:rPr>
        <w:t>4.5 Exclusive Technical Support Package</w:t>
      </w:r>
      <w:bookmarkEnd w:id="19"/>
    </w:p>
    <w:p w14:paraId="2FF42738">
      <w:pPr>
        <w:numPr>
          <w:ilvl w:val="0"/>
          <w:numId w:val="9"/>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Free simulation of the fuel cell stack clamping force, outputting the optimal number of disc springs and the corresponding configuration selection scheme;</w:t>
      </w:r>
    </w:p>
    <w:p w14:paraId="314B7CA8">
      <w:pPr>
        <w:numPr>
          <w:ilvl w:val="0"/>
          <w:numId w:val="9"/>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Engineers provide on-site assembly guidance, delivering standardized composite assembly workflows and pre-tightening torque calibration specifications;</w:t>
      </w:r>
    </w:p>
    <w:p w14:paraId="65E27FCA">
      <w:pPr>
        <w:numPr>
          <w:ilvl w:val="0"/>
          <w:numId w:val="9"/>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Free disassembly and failure analysis for product operational anomalies; provides a process iteration and optimization plan;</w:t>
      </w:r>
    </w:p>
    <w:p w14:paraId="5863B4DE">
      <w:pPr>
        <w:numPr>
          <w:ilvl w:val="0"/>
          <w:numId w:val="9"/>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Establish dedicated collaborative R&amp;D channels to continuously iterate product processes and address industry-wide common challenges such as heavy-duty creep and hydrogen embrittlement.</w:t>
      </w:r>
    </w:p>
    <w:p w14:paraId="6486278C">
      <w:pPr>
        <w:numPr>
          <w:ilvl w:val="0"/>
          <w:numId w:val="10"/>
        </w:numPr>
        <w:spacing w:before="320" w:after="120" w:line="288" w:lineRule="auto"/>
        <w:ind w:left="0" w:leftChars="0" w:firstLine="0" w:firstLineChars="0"/>
        <w:jc w:val="left"/>
        <w:outlineLvl w:val="1"/>
        <w:rPr>
          <w:rFonts w:ascii="Arial" w:hAnsi="Arial" w:eastAsia="等线" w:cs="Arial"/>
          <w:b/>
          <w:sz w:val="32"/>
        </w:rPr>
      </w:pPr>
      <w:bookmarkStart w:id="20" w:name="heading_20"/>
      <w:r>
        <w:rPr>
          <w:rFonts w:hint="eastAsia" w:hAnsi="Arial" w:eastAsia="微软雅黑" w:cs="Arial"/>
          <w:b/>
          <w:sz w:val="32"/>
          <w:szCs w:val="22"/>
          <w:lang w:eastAsia="zh-CN"/>
        </w:rPr>
        <w:t>Sunzo</w:t>
      </w:r>
      <w:r>
        <w:rPr>
          <w:rFonts w:hint="eastAsia" w:ascii="Times New Roman" w:hAnsi="Arial" w:eastAsia="微软雅黑" w:cs="Arial"/>
          <w:b/>
          <w:sz w:val="32"/>
          <w:szCs w:val="22"/>
          <w:lang w:eastAsia="zh-CN"/>
        </w:rPr>
        <w:t xml:space="preserve"> Electrolyzer Disc Spring Product Portfolio: ALK/PEM/AEM – Full-scenario compatibility</w:t>
      </w:r>
      <w:bookmarkEnd w:id="20"/>
    </w:p>
    <w:p w14:paraId="77EB22F9">
      <w:pPr>
        <w:numPr>
          <w:ilvl w:val="0"/>
          <w:numId w:val="0"/>
        </w:numPr>
        <w:spacing w:before="320" w:after="120" w:line="288" w:lineRule="auto"/>
        <w:jc w:val="center"/>
        <w:outlineLvl w:val="1"/>
        <w:rPr>
          <w:rFonts w:hint="eastAsia" w:ascii="Arial" w:hAnsi="Arial" w:eastAsia="等线" w:cs="Arial"/>
          <w:b/>
          <w:sz w:val="32"/>
          <w:lang w:eastAsia="zh-CN"/>
        </w:rPr>
      </w:pPr>
      <w:r>
        <w:rPr>
          <w:rFonts w:hint="eastAsia" w:ascii="Arial" w:hAnsi="Arial" w:eastAsia="等线" w:cs="Arial"/>
          <w:b/>
          <w:sz w:val="32"/>
          <w:lang w:eastAsia="zh-CN"/>
        </w:rPr>
        <w:drawing>
          <wp:inline distT="0" distB="0" distL="114300" distR="114300">
            <wp:extent cx="3559810" cy="1887855"/>
            <wp:effectExtent l="0" t="0" r="2540" b="17145"/>
            <wp:docPr id="7" name="图片 7" descr="dc998decd53d97780e8f0ab3af14e5b6_f1e0613b3f3f496a972aa9da7c6402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c998decd53d97780e8f0ab3af14e5b6_f1e0613b3f3f496a972aa9da7c6402bd"/>
                    <pic:cNvPicPr>
                      <a:picLocks noChangeAspect="1"/>
                    </pic:cNvPicPr>
                  </pic:nvPicPr>
                  <pic:blipFill>
                    <a:blip r:embed="rId10"/>
                    <a:stretch>
                      <a:fillRect/>
                    </a:stretch>
                  </pic:blipFill>
                  <pic:spPr>
                    <a:xfrm>
                      <a:off x="0" y="0"/>
                      <a:ext cx="3559810" cy="1887855"/>
                    </a:xfrm>
                    <a:prstGeom prst="rect">
                      <a:avLst/>
                    </a:prstGeom>
                  </pic:spPr>
                </pic:pic>
              </a:graphicData>
            </a:graphic>
          </wp:inline>
        </w:drawing>
      </w:r>
    </w:p>
    <w:p w14:paraId="590C704B">
      <w:pPr>
        <w:spacing w:before="300" w:after="120" w:line="288" w:lineRule="auto"/>
        <w:ind w:left="0"/>
        <w:jc w:val="left"/>
        <w:outlineLvl w:val="2"/>
        <w:rPr>
          <w:rFonts w:hint="eastAsia" w:eastAsia="等线"/>
          <w:lang w:eastAsia="zh-CN"/>
        </w:rPr>
      </w:pPr>
      <w:bookmarkStart w:id="21" w:name="heading_21"/>
      <w:r>
        <w:rPr>
          <w:rFonts w:hint="eastAsia" w:ascii="Times New Roman" w:hAnsi="Arial" w:eastAsia="微软雅黑" w:cs="Arial"/>
          <w:b/>
          <w:sz w:val="30"/>
          <w:szCs w:val="22"/>
          <w:lang w:eastAsia="zh-CN"/>
        </w:rPr>
        <w:t>5.1 Special Disc Spring Series for ALK Alkali Electrolysis Cells</w:t>
      </w:r>
      <w:bookmarkEnd w:id="21"/>
    </w:p>
    <w:p w14:paraId="79EE5A89">
      <w:pPr>
        <w:spacing w:before="120" w:after="120" w:line="288" w:lineRule="auto"/>
        <w:ind w:left="0" w:firstLine="440" w:firstLineChars="200"/>
        <w:jc w:val="left"/>
        <w:rPr>
          <w:rFonts w:hint="eastAsia" w:eastAsia="等线"/>
          <w:lang w:eastAsia="zh-CN"/>
        </w:rPr>
      </w:pPr>
      <w:r>
        <w:rPr>
          <w:rFonts w:hint="eastAsia" w:ascii="Times New Roman" w:hAnsi="Arial" w:eastAsia="微软雅黑" w:cs="Arial"/>
          <w:sz w:val="22"/>
          <w:szCs w:val="22"/>
          <w:lang w:eastAsia="zh-CN"/>
        </w:rPr>
        <w:t>Applicable operating conditions: large-capacity industrial alkaline hydrogen production systems, KOH strong alkali electrolyte environments, and medium-to-long-term continuous steady-state operation of equipment; suitable for bolted fastening structures around the electrolyzer tank and at the central main compression point, which provide continuous compensation for creep and thermal expansion/contraction, thereby ensuring stable maintenance of the fuel cell stack sealing pressure.</w:t>
      </w:r>
    </w:p>
    <w:p w14:paraId="6A417564">
      <w:pPr>
        <w:numPr>
          <w:ilvl w:val="0"/>
          <w:numId w:val="11"/>
        </w:numPr>
        <w:spacing w:before="120" w:after="120" w:line="288" w:lineRule="auto"/>
        <w:ind w:left="420" w:leftChars="0" w:hanging="420" w:firstLineChars="0"/>
        <w:jc w:val="left"/>
      </w:pPr>
      <w:r>
        <w:rPr>
          <w:rFonts w:hint="eastAsia" w:ascii="Times New Roman" w:hAnsi="Arial" w:eastAsia="微软雅黑" w:cs="Arial"/>
          <w:sz w:val="22"/>
          <w:szCs w:val="22"/>
          <w:lang w:eastAsia="zh-CN"/>
        </w:rPr>
        <w:t>Available materials: refined spring steel, 316L corrosion-resistant stainless steel</w:t>
      </w:r>
    </w:p>
    <w:p w14:paraId="65202462">
      <w:pPr>
        <w:numPr>
          <w:ilvl w:val="0"/>
          <w:numId w:val="11"/>
        </w:numPr>
        <w:spacing w:before="120" w:after="120" w:line="288" w:lineRule="auto"/>
        <w:ind w:left="420" w:leftChars="0" w:hanging="420" w:firstLineChars="0"/>
        <w:jc w:val="left"/>
      </w:pPr>
      <w:r>
        <w:rPr>
          <w:rFonts w:hint="eastAsia" w:ascii="Times New Roman" w:hAnsi="Arial" w:eastAsia="微软雅黑" w:cs="Arial"/>
          <w:sz w:val="22"/>
          <w:szCs w:val="22"/>
          <w:lang w:eastAsia="zh-CN"/>
        </w:rPr>
        <w:t>Product Advantages: Mature supporting solutions with excellent cost-performance ratio; superior alkali resistance; strict control over creep deformation under long-term operating conditions; supports large-volume stable on-demand delivery.</w:t>
      </w:r>
    </w:p>
    <w:p w14:paraId="1D0BB211">
      <w:pPr>
        <w:numPr>
          <w:ilvl w:val="0"/>
          <w:numId w:val="11"/>
        </w:numPr>
        <w:spacing w:before="120" w:after="120" w:line="288" w:lineRule="auto"/>
        <w:ind w:left="420" w:leftChars="0" w:hanging="420" w:firstLineChars="0"/>
        <w:jc w:val="left"/>
      </w:pPr>
      <w:r>
        <w:rPr>
          <w:rFonts w:hint="eastAsia" w:ascii="Times New Roman" w:hAnsi="Arial" w:eastAsia="微软雅黑" w:cs="Arial"/>
          <w:sz w:val="22"/>
          <w:szCs w:val="22"/>
          <w:lang w:eastAsia="zh-CN"/>
        </w:rPr>
        <w:t>Specifications: The entire product series covers all outer diameter specifications; supports any combination of single cells, stacked configurations, or paired configurations; custom matching solutions can be provided based on the customer's stack configuration.</w:t>
      </w:r>
    </w:p>
    <w:p w14:paraId="619B5A99">
      <w:pPr>
        <w:spacing w:before="300" w:after="120" w:line="288" w:lineRule="auto"/>
        <w:ind w:left="0"/>
        <w:jc w:val="left"/>
        <w:outlineLvl w:val="2"/>
        <w:rPr>
          <w:rFonts w:hint="eastAsia" w:ascii="Arial" w:hAnsi="Arial" w:eastAsia="等线" w:cs="Arial"/>
          <w:b/>
          <w:sz w:val="30"/>
          <w:lang w:eastAsia="zh-CN"/>
        </w:rPr>
      </w:pPr>
      <w:bookmarkStart w:id="22" w:name="heading_22"/>
      <w:bookmarkStart w:id="23" w:name="heading_23"/>
      <w:r>
        <w:rPr>
          <w:rFonts w:hint="eastAsia" w:ascii="Times New Roman" w:hAnsi="Arial" w:eastAsia="微软雅黑" w:cs="Arial"/>
          <w:b/>
          <w:sz w:val="30"/>
          <w:szCs w:val="22"/>
          <w:lang w:eastAsia="zh-CN"/>
        </w:rPr>
        <w:t xml:space="preserve">5.2 </w:t>
      </w:r>
      <w:bookmarkEnd w:id="22"/>
      <w:r>
        <w:rPr>
          <w:rFonts w:hint="eastAsia" w:ascii="Times New Roman" w:hAnsi="Arial" w:eastAsia="微软雅黑" w:cs="Arial"/>
          <w:b/>
          <w:sz w:val="30"/>
          <w:szCs w:val="22"/>
          <w:lang w:eastAsia="zh-CN"/>
        </w:rPr>
        <w:t>PEM High-Pressure Electrolyzer Spring Steel Disc Spring Series</w:t>
      </w:r>
      <w:bookmarkEnd w:id="23"/>
    </w:p>
    <w:p w14:paraId="239C7EA1">
      <w:pPr>
        <w:spacing w:before="120" w:after="120" w:line="288" w:lineRule="auto"/>
        <w:ind w:left="0" w:leftChars="0" w:firstLine="440" w:firstLineChars="200"/>
        <w:jc w:val="left"/>
        <w:rPr>
          <w:rFonts w:hint="eastAsia" w:eastAsia="等线"/>
          <w:sz w:val="21"/>
          <w:szCs w:val="22"/>
          <w:lang w:eastAsia="zh-CN"/>
        </w:rPr>
      </w:pPr>
      <w:r>
        <w:rPr>
          <w:rFonts w:hint="eastAsia" w:ascii="Times New Roman" w:hAnsi="Arial" w:eastAsia="微软雅黑" w:cs="Arial"/>
          <w:sz w:val="22"/>
          <w:szCs w:val="22"/>
          <w:lang w:eastAsia="zh-CN"/>
        </w:rPr>
        <w:t>Applicable operating conditions: high-pressure hydrogen environments, frequent thermal start-stop cycles, and medium-pressure continuous operation; designed for long-term uniform clamping of proton exchange membrane systems, meeting the clamping requirements of conventional PEM electrolyzers, and mitigating the risk of elastic degradation failure during prolonged operation.</w:t>
      </w:r>
    </w:p>
    <w:p w14:paraId="3C235957">
      <w:pPr>
        <w:numPr>
          <w:ilvl w:val="0"/>
          <w:numId w:val="11"/>
        </w:numPr>
        <w:spacing w:before="120" w:after="120" w:line="288" w:lineRule="auto"/>
        <w:ind w:left="420" w:leftChars="0" w:hanging="420" w:firstLineChars="0"/>
        <w:jc w:val="left"/>
        <w:rPr>
          <w:rFonts w:ascii="Arial" w:hAnsi="Arial" w:eastAsia="等线" w:cs="Arial"/>
          <w:sz w:val="22"/>
        </w:rPr>
      </w:pPr>
      <w:r>
        <w:rPr>
          <w:rFonts w:hint="eastAsia" w:ascii="Times New Roman" w:hAnsi="Arial" w:eastAsia="微软雅黑" w:cs="Arial"/>
          <w:sz w:val="22"/>
          <w:szCs w:val="22"/>
          <w:lang w:eastAsia="zh-CN"/>
        </w:rPr>
        <w:t>Available materials: special-grade refined high-quality spring steel, 50CrVA, and 60Si2Mn alloy spring steel</w:t>
      </w:r>
    </w:p>
    <w:p w14:paraId="5744FF4C">
      <w:pPr>
        <w:numPr>
          <w:ilvl w:val="0"/>
          <w:numId w:val="11"/>
        </w:numPr>
        <w:spacing w:before="120" w:after="120" w:line="288" w:lineRule="auto"/>
        <w:ind w:left="420" w:leftChars="0" w:hanging="420" w:firstLineChars="0"/>
        <w:jc w:val="left"/>
        <w:rPr>
          <w:rFonts w:ascii="Arial" w:hAnsi="Arial" w:eastAsia="等线" w:cs="Arial"/>
          <w:sz w:val="22"/>
        </w:rPr>
      </w:pPr>
      <w:r>
        <w:rPr>
          <w:rFonts w:hint="eastAsia" w:ascii="Times New Roman" w:hAnsi="Arial" w:eastAsia="微软雅黑" w:cs="Arial"/>
          <w:sz w:val="22"/>
          <w:szCs w:val="22"/>
          <w:lang w:eastAsia="zh-CN"/>
        </w:rPr>
        <w:t>Product Advantages: Equipped with the Dakro anti-corrosion coating and featuring a standardized surface treatment process that effectively resists moisture and medium-induced erosion; provides stable control over high-temperature stress relaxation, can be paired with membrane electrode insulation treatment solutions, and offers excellent cost competitiveness.</w:t>
      </w:r>
    </w:p>
    <w:p w14:paraId="5596B60F">
      <w:pPr>
        <w:numPr>
          <w:ilvl w:val="0"/>
          <w:numId w:val="11"/>
        </w:numPr>
        <w:spacing w:before="120" w:after="120" w:line="288" w:lineRule="auto"/>
        <w:ind w:left="420" w:leftChars="0" w:hanging="420" w:firstLineChars="0"/>
        <w:jc w:val="left"/>
        <w:rPr>
          <w:rFonts w:ascii="Arial" w:hAnsi="Arial" w:eastAsia="等线" w:cs="Arial"/>
          <w:sz w:val="22"/>
        </w:rPr>
      </w:pPr>
      <w:r>
        <w:rPr>
          <w:rFonts w:hint="eastAsia" w:ascii="Times New Roman" w:hAnsi="Arial" w:eastAsia="微软雅黑" w:cs="Arial"/>
          <w:sz w:val="22"/>
          <w:szCs w:val="22"/>
          <w:lang w:eastAsia="zh-CN"/>
        </w:rPr>
        <w:t>Compatible models: Small and medium-power high-voltage PEM hydrogen production electrolyzers; distributed hydrogen production PEM electrolysis systems</w:t>
      </w:r>
    </w:p>
    <w:p w14:paraId="7397EA8A">
      <w:pPr>
        <w:spacing w:before="300" w:after="120" w:line="288" w:lineRule="auto"/>
        <w:ind w:left="0"/>
        <w:jc w:val="left"/>
        <w:outlineLvl w:val="2"/>
        <w:rPr>
          <w:rFonts w:hint="eastAsia" w:eastAsia="等线"/>
          <w:lang w:eastAsia="zh-CN"/>
        </w:rPr>
      </w:pPr>
      <w:r>
        <w:rPr>
          <w:rFonts w:hint="eastAsia" w:ascii="Times New Roman" w:hAnsi="Arial" w:eastAsia="微软雅黑" w:cs="Arial"/>
          <w:b/>
          <w:sz w:val="30"/>
          <w:szCs w:val="22"/>
          <w:lang w:eastAsia="zh-CN"/>
        </w:rPr>
        <w:t>5.3 AEM Small Distributed Electrolyzer Lightweight Disc Spring Series</w:t>
      </w:r>
    </w:p>
    <w:p w14:paraId="4A9C296D">
      <w:pPr>
        <w:spacing w:before="120" w:after="120" w:line="288" w:lineRule="auto"/>
        <w:ind w:left="0"/>
        <w:jc w:val="left"/>
        <w:rPr>
          <w:rFonts w:hint="eastAsia" w:eastAsia="等线"/>
          <w:lang w:eastAsia="zh-CN"/>
        </w:rPr>
      </w:pPr>
      <w:r>
        <w:rPr>
          <w:rFonts w:hint="eastAsia" w:ascii="Times New Roman" w:hAnsi="Arial" w:eastAsia="微软雅黑" w:cs="Arial"/>
          <w:sz w:val="22"/>
          <w:szCs w:val="22"/>
          <w:lang w:eastAsia="zh-CN"/>
        </w:rPr>
        <w:t>Applicable operating conditions: small-to-medium scale distributed AEM hydrogen production systems; designed for scenarios where endplate installation imposes stringent axial space constraints, meeting the requirements for a lightweight overall system design.</w:t>
      </w:r>
    </w:p>
    <w:p w14:paraId="5FB05523">
      <w:pPr>
        <w:numPr>
          <w:ilvl w:val="0"/>
          <w:numId w:val="11"/>
        </w:numPr>
        <w:spacing w:before="120" w:after="120" w:line="288" w:lineRule="auto"/>
        <w:ind w:left="420" w:leftChars="0" w:hanging="420" w:firstLineChars="0"/>
        <w:jc w:val="left"/>
        <w:rPr>
          <w:rFonts w:ascii="Arial" w:hAnsi="Arial" w:eastAsia="等线" w:cs="Arial"/>
          <w:sz w:val="22"/>
        </w:rPr>
      </w:pPr>
      <w:r>
        <w:rPr>
          <w:rFonts w:hint="eastAsia" w:ascii="Times New Roman" w:hAnsi="Arial" w:eastAsia="微软雅黑" w:cs="Arial"/>
          <w:sz w:val="22"/>
          <w:szCs w:val="22"/>
          <w:lang w:eastAsia="zh-CN"/>
        </w:rPr>
        <w:t>Optional materials: 17-7PH precipitation-hardened stainless steel</w:t>
      </w:r>
    </w:p>
    <w:p w14:paraId="680B4B7A">
      <w:pPr>
        <w:numPr>
          <w:ilvl w:val="0"/>
          <w:numId w:val="11"/>
        </w:numPr>
        <w:spacing w:before="120" w:after="120" w:line="288" w:lineRule="auto"/>
        <w:ind w:left="420" w:leftChars="0" w:hanging="420" w:firstLineChars="0"/>
        <w:jc w:val="left"/>
        <w:rPr>
          <w:rFonts w:ascii="Arial" w:hAnsi="Arial" w:eastAsia="等线" w:cs="Arial"/>
          <w:sz w:val="22"/>
        </w:rPr>
      </w:pPr>
      <w:r>
        <w:rPr>
          <w:rFonts w:hint="eastAsia" w:ascii="Times New Roman" w:hAnsi="Arial" w:eastAsia="微软雅黑" w:cs="Arial"/>
          <w:sz w:val="22"/>
          <w:szCs w:val="22"/>
          <w:lang w:eastAsia="zh-CN"/>
        </w:rPr>
        <w:t>Product Advantages: Thin, lightweight structure enables high load output in confined spaces, with stable performance under both high and low temperature conditions.</w:t>
      </w:r>
    </w:p>
    <w:p w14:paraId="15394E9F">
      <w:pPr>
        <w:spacing w:before="300" w:after="120" w:line="288" w:lineRule="auto"/>
        <w:ind w:left="0"/>
        <w:jc w:val="left"/>
        <w:outlineLvl w:val="2"/>
        <w:rPr>
          <w:rFonts w:hint="eastAsia" w:eastAsia="等线"/>
          <w:lang w:eastAsia="zh-CN"/>
        </w:rPr>
      </w:pPr>
      <w:bookmarkStart w:id="24" w:name="heading_24"/>
      <w:r>
        <w:rPr>
          <w:rFonts w:hint="eastAsia" w:ascii="Times New Roman" w:hAnsi="Arial" w:eastAsia="微软雅黑" w:cs="Arial"/>
          <w:b/>
          <w:sz w:val="30"/>
          <w:szCs w:val="22"/>
          <w:lang w:eastAsia="zh-CN"/>
        </w:rPr>
        <w:t>5.4 Customized Special Disc Spring Assembly Development</w:t>
      </w:r>
      <w:bookmarkEnd w:id="24"/>
    </w:p>
    <w:p w14:paraId="684D27A5">
      <w:pPr>
        <w:spacing w:before="120" w:after="120" w:line="288" w:lineRule="auto"/>
        <w:ind w:left="0" w:firstLine="440" w:firstLineChars="200"/>
        <w:jc w:val="left"/>
        <w:rPr>
          <w:rFonts w:hint="eastAsia" w:eastAsia="等线"/>
          <w:lang w:eastAsia="zh-CN"/>
        </w:rPr>
      </w:pPr>
      <w:r>
        <w:rPr>
          <w:rFonts w:hint="eastAsia" w:ascii="Times New Roman" w:hAnsi="Arial" w:eastAsia="微软雅黑" w:cs="Arial"/>
          <w:sz w:val="22"/>
          <w:szCs w:val="22"/>
          <w:lang w:eastAsia="zh-CN"/>
        </w:rPr>
        <w:t>We offer specialized customization services for hydrogen energy applications: self-guided positioning disc springs, insulated-coated disc springs, pre-assembled integrated disc spring assemblies, and ultra-heavy-duty non-standard or custom-shaped disc springs; we support startup development for individual samples and provide concurrent load simulation and combined selection technical support.</w:t>
      </w:r>
    </w:p>
    <w:p w14:paraId="34BC14A0">
      <w:pPr>
        <w:numPr>
          <w:ilvl w:val="0"/>
          <w:numId w:val="10"/>
        </w:numPr>
        <w:spacing w:before="320" w:after="120" w:line="288" w:lineRule="auto"/>
        <w:ind w:left="0" w:leftChars="0" w:firstLine="0" w:firstLineChars="0"/>
        <w:jc w:val="left"/>
        <w:outlineLvl w:val="1"/>
        <w:rPr>
          <w:rFonts w:ascii="Arial" w:hAnsi="Arial" w:eastAsia="等线" w:cs="Arial"/>
          <w:b/>
          <w:sz w:val="32"/>
        </w:rPr>
      </w:pPr>
      <w:bookmarkStart w:id="25" w:name="heading_25"/>
      <w:r>
        <w:rPr>
          <w:rFonts w:hint="eastAsia" w:ascii="Times New Roman" w:hAnsi="Arial" w:eastAsia="微软雅黑" w:cs="Arial"/>
          <w:b/>
          <w:sz w:val="32"/>
          <w:szCs w:val="22"/>
          <w:lang w:eastAsia="zh-CN"/>
        </w:rPr>
        <w:t>End-to-End Technical Service System</w:t>
      </w:r>
      <w:bookmarkEnd w:id="25"/>
    </w:p>
    <w:p w14:paraId="1333813B">
      <w:pPr>
        <w:spacing w:before="300" w:after="120" w:line="288" w:lineRule="auto"/>
        <w:ind w:left="0"/>
        <w:jc w:val="left"/>
        <w:outlineLvl w:val="2"/>
        <w:rPr>
          <w:rFonts w:hint="eastAsia" w:eastAsia="等线"/>
          <w:lang w:eastAsia="zh-CN"/>
        </w:rPr>
      </w:pPr>
      <w:bookmarkStart w:id="26" w:name="heading_26"/>
      <w:r>
        <w:rPr>
          <w:rFonts w:hint="eastAsia" w:ascii="Times New Roman" w:hAnsi="Arial" w:eastAsia="微软雅黑" w:cs="Arial"/>
          <w:b/>
          <w:sz w:val="30"/>
          <w:szCs w:val="22"/>
          <w:lang w:eastAsia="zh-CN"/>
        </w:rPr>
        <w:t>6.1 Preliminary Operating Condition Diagnosis</w:t>
      </w:r>
      <w:bookmarkEnd w:id="26"/>
    </w:p>
    <w:p w14:paraId="24021F66">
      <w:pPr>
        <w:spacing w:before="120" w:after="120" w:line="288" w:lineRule="auto"/>
        <w:ind w:left="0" w:firstLine="440" w:firstLineChars="200"/>
        <w:jc w:val="left"/>
        <w:rPr>
          <w:rFonts w:hint="eastAsia" w:eastAsia="等线"/>
          <w:lang w:eastAsia="zh-CN"/>
        </w:rPr>
      </w:pPr>
      <w:r>
        <w:rPr>
          <w:rFonts w:hint="eastAsia" w:ascii="Times New Roman" w:hAnsi="Arial" w:eastAsia="微软雅黑" w:cs="Arial"/>
          <w:sz w:val="22"/>
          <w:szCs w:val="22"/>
          <w:lang w:eastAsia="zh-CN"/>
        </w:rPr>
        <w:t>The standardized on-site investigation process is executed without taking photographs of the customer's equipment drawings or structural blueprints; instead, through structured interviews and on-site observations, information regarding the electrolysis cell stacking configuration, bolt layout, preload, failure points, and acceptance test standards is comprehensively collected. Based on this data, a "Equipment Operating Condition Diagnostic Report" is generated, and a customized disc spring selection scheme is provided.</w:t>
      </w:r>
    </w:p>
    <w:p w14:paraId="79D39639">
      <w:pPr>
        <w:spacing w:before="300" w:after="120" w:line="288" w:lineRule="auto"/>
        <w:ind w:left="0"/>
        <w:jc w:val="left"/>
        <w:outlineLvl w:val="2"/>
        <w:rPr>
          <w:rFonts w:hint="eastAsia" w:eastAsia="等线"/>
          <w:lang w:eastAsia="zh-CN"/>
        </w:rPr>
      </w:pPr>
      <w:bookmarkStart w:id="27" w:name="heading_27"/>
      <w:r>
        <w:rPr>
          <w:rFonts w:hint="eastAsia" w:ascii="Times New Roman" w:hAnsi="Arial" w:eastAsia="微软雅黑" w:cs="Arial"/>
          <w:b/>
          <w:sz w:val="30"/>
          <w:szCs w:val="22"/>
          <w:lang w:eastAsia="zh-CN"/>
        </w:rPr>
        <w:t>6.2 Simulation Design Services</w:t>
      </w:r>
      <w:bookmarkEnd w:id="27"/>
    </w:p>
    <w:p w14:paraId="5C119D75">
      <w:pPr>
        <w:numPr>
          <w:ilvl w:val="0"/>
          <w:numId w:val="12"/>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Three-dimensional modeling combined with multi-physics finite element simulation is employed to simulate the stress behavior, creep, and fatigue characteristics of disc springs under high-temperature, high-pressure, and thermal cycling conditions;</w:t>
      </w:r>
    </w:p>
    <w:p w14:paraId="4E5C1C9A">
      <w:pPr>
        <w:numPr>
          <w:ilvl w:val="0"/>
          <w:numId w:val="12"/>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Output load-deformation curves, optimal composite design schemes, and safety factor verification reports to proactively avoid equipment failures resulting from improper selection.</w:t>
      </w:r>
    </w:p>
    <w:p w14:paraId="0C58331C">
      <w:pPr>
        <w:spacing w:before="300" w:after="120" w:line="288" w:lineRule="auto"/>
        <w:ind w:left="0"/>
        <w:jc w:val="left"/>
        <w:outlineLvl w:val="2"/>
        <w:rPr>
          <w:rFonts w:hint="eastAsia" w:eastAsia="等线"/>
          <w:lang w:eastAsia="zh-CN"/>
        </w:rPr>
      </w:pPr>
      <w:bookmarkStart w:id="28" w:name="heading_28"/>
      <w:r>
        <w:rPr>
          <w:rFonts w:hint="eastAsia" w:ascii="Times New Roman" w:hAnsi="Arial" w:eastAsia="微软雅黑" w:cs="Arial"/>
          <w:b/>
          <w:sz w:val="30"/>
          <w:szCs w:val="22"/>
          <w:lang w:eastAsia="zh-CN"/>
        </w:rPr>
        <w:t>6.3 Samples shall be compatible with the acceptance testing process.</w:t>
      </w:r>
      <w:bookmarkEnd w:id="28"/>
    </w:p>
    <w:p w14:paraId="46CE1BB3">
      <w:pPr>
        <w:numPr>
          <w:ilvl w:val="0"/>
          <w:numId w:val="13"/>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Quick prototyping: standard specifications with short-term spot delivery; non-standard custom orders with rapid sample production;</w:t>
      </w:r>
    </w:p>
    <w:p w14:paraId="10A7CE86">
      <w:pPr>
        <w:numPr>
          <w:ilvl w:val="0"/>
          <w:numId w:val="13"/>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We collaborate with clients to complete the full suite of supplier type approval tests, providing comprehensive internal test reports; where third-party testing is required, we provide full coordination with external testing institutions to shorten the client's supplier audit cycle.</w:t>
      </w:r>
    </w:p>
    <w:p w14:paraId="69DB0DAA">
      <w:pPr>
        <w:spacing w:before="300" w:after="120" w:line="288" w:lineRule="auto"/>
        <w:ind w:left="0"/>
        <w:jc w:val="left"/>
        <w:outlineLvl w:val="2"/>
        <w:rPr>
          <w:rFonts w:hint="eastAsia" w:eastAsia="等线"/>
          <w:lang w:eastAsia="zh-CN"/>
        </w:rPr>
      </w:pPr>
      <w:bookmarkStart w:id="29" w:name="heading_29"/>
      <w:r>
        <w:rPr>
          <w:rFonts w:hint="eastAsia" w:ascii="Times New Roman" w:hAnsi="Arial" w:eastAsia="微软雅黑" w:cs="Arial"/>
          <w:b/>
          <w:sz w:val="30"/>
          <w:szCs w:val="22"/>
          <w:lang w:eastAsia="zh-CN"/>
        </w:rPr>
        <w:t>6.4 On-site Technical Support</w:t>
      </w:r>
      <w:bookmarkEnd w:id="29"/>
    </w:p>
    <w:p w14:paraId="20569177">
      <w:pPr>
        <w:numPr>
          <w:ilvl w:val="0"/>
          <w:numId w:val="14"/>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Output assembly SOP guidance and pre-torque calibration training;</w:t>
      </w:r>
    </w:p>
    <w:p w14:paraId="7A2A8294">
      <w:pPr>
        <w:numPr>
          <w:ilvl w:val="0"/>
          <w:numId w:val="14"/>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Provide recommendations for selecting batch assembly fixtures;</w:t>
      </w:r>
    </w:p>
    <w:p w14:paraId="62560211">
      <w:pPr>
        <w:numPr>
          <w:ilvl w:val="0"/>
          <w:numId w:val="14"/>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During the project's commissioning phase, regular follow-up visits are conducted to monitor the long-term creep behavior and pressure decay operational data of the disc springs, enabling continuous iterative optimization of the product.</w:t>
      </w:r>
    </w:p>
    <w:p w14:paraId="08C904B4">
      <w:pPr>
        <w:spacing w:before="300" w:after="120" w:line="288" w:lineRule="auto"/>
        <w:ind w:left="0"/>
        <w:jc w:val="left"/>
        <w:outlineLvl w:val="2"/>
        <w:rPr>
          <w:rFonts w:hint="eastAsia" w:eastAsia="等线"/>
          <w:lang w:eastAsia="zh-CN"/>
        </w:rPr>
      </w:pPr>
      <w:bookmarkStart w:id="30" w:name="heading_30"/>
      <w:r>
        <w:rPr>
          <w:rFonts w:hint="eastAsia" w:ascii="Times New Roman" w:hAnsi="Arial" w:eastAsia="微软雅黑" w:cs="Arial"/>
          <w:b/>
          <w:sz w:val="30"/>
          <w:szCs w:val="22"/>
          <w:lang w:eastAsia="zh-CN"/>
        </w:rPr>
        <w:t>6.5 Long-term After-sales Technical Services</w:t>
      </w:r>
      <w:bookmarkEnd w:id="30"/>
    </w:p>
    <w:p w14:paraId="3F6AC7C0">
      <w:pPr>
        <w:numPr>
          <w:ilvl w:val="0"/>
          <w:numId w:val="15"/>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Free disassembly analysis of failed components, providing a comprehensive improvement plan;</w:t>
      </w:r>
    </w:p>
    <w:p w14:paraId="56658BEF">
      <w:pPr>
        <w:numPr>
          <w:ilvl w:val="0"/>
          <w:numId w:val="15"/>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Align with industry trends to iteratively upgrade product heat treatment and surface treatment processes;</w:t>
      </w:r>
    </w:p>
    <w:p w14:paraId="10B40AFA">
      <w:pPr>
        <w:numPr>
          <w:ilvl w:val="0"/>
          <w:numId w:val="15"/>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Our framework partner clients are assigned dedicated technical liaison engineers who provide 24-hour response to technical inquiries.</w:t>
      </w:r>
    </w:p>
    <w:p w14:paraId="55F02735">
      <w:pPr>
        <w:spacing w:before="320" w:after="120" w:line="288" w:lineRule="auto"/>
        <w:ind w:left="0"/>
        <w:jc w:val="left"/>
        <w:outlineLvl w:val="1"/>
        <w:rPr>
          <w:rFonts w:hint="eastAsia" w:eastAsia="等线"/>
          <w:lang w:eastAsia="zh-CN"/>
        </w:rPr>
      </w:pPr>
      <w:bookmarkStart w:id="31" w:name="heading_31"/>
      <w:r>
        <w:rPr>
          <w:rFonts w:hint="eastAsia" w:ascii="Times New Roman" w:hAnsi="Arial" w:eastAsia="微软雅黑" w:cs="Arial"/>
          <w:b/>
          <w:sz w:val="32"/>
          <w:szCs w:val="22"/>
          <w:lang w:eastAsia="zh-CN"/>
        </w:rPr>
        <w:t xml:space="preserve">VII. Comparison of Supporting Solutions: </w:t>
      </w:r>
      <w:r>
        <w:rPr>
          <w:rFonts w:hint="eastAsia" w:hAnsi="Arial" w:eastAsia="微软雅黑" w:cs="Arial"/>
          <w:b/>
          <w:sz w:val="32"/>
          <w:szCs w:val="22"/>
          <w:lang w:eastAsia="zh-CN"/>
        </w:rPr>
        <w:t>Sunzo</w:t>
      </w:r>
      <w:r>
        <w:rPr>
          <w:rFonts w:hint="eastAsia" w:ascii="Times New Roman" w:hAnsi="Arial" w:eastAsia="微软雅黑" w:cs="Arial"/>
          <w:b/>
          <w:sz w:val="32"/>
          <w:szCs w:val="22"/>
          <w:lang w:eastAsia="zh-CN"/>
        </w:rPr>
        <w:t xml:space="preserve"> Elastic vs. Overseas Disc Spring Brands</w:t>
      </w:r>
      <w:bookmarkEnd w:id="31"/>
    </w:p>
    <w:tbl>
      <w:tblPr>
        <w:tblStyle w:val="2"/>
        <w:tblW w:w="9473" w:type="dxa"/>
        <w:tblInd w:w="-429"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1615"/>
        <w:gridCol w:w="2273"/>
        <w:gridCol w:w="3139"/>
        <w:gridCol w:w="2446"/>
      </w:tblGrid>
      <w:tr w14:paraId="203BB37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15" w:type="dxa"/>
            <w:tcMar>
              <w:top w:w="60" w:type="dxa"/>
              <w:left w:w="120" w:type="dxa"/>
              <w:bottom w:w="30" w:type="dxa"/>
              <w:right w:w="120" w:type="dxa"/>
            </w:tcMar>
            <w:vAlign w:val="center"/>
          </w:tcPr>
          <w:p w14:paraId="024C5E54">
            <w:pPr>
              <w:spacing w:before="120" w:after="120" w:line="288" w:lineRule="auto"/>
              <w:ind w:left="0"/>
              <w:jc w:val="center"/>
              <w:rPr>
                <w:rFonts w:hint="eastAsia" w:eastAsia="等线"/>
                <w:b/>
                <w:bCs/>
                <w:sz w:val="22"/>
                <w:szCs w:val="24"/>
                <w:lang w:eastAsia="zh-CN"/>
              </w:rPr>
            </w:pPr>
            <w:r>
              <w:rPr>
                <w:rFonts w:hint="eastAsia" w:ascii="Times New Roman" w:hAnsi="Arial" w:eastAsia="微软雅黑" w:cs="Arial"/>
                <w:b/>
                <w:bCs/>
                <w:sz w:val="24"/>
                <w:szCs w:val="24"/>
                <w:lang w:eastAsia="zh-CN"/>
              </w:rPr>
              <w:t>Comparison Dimensions</w:t>
            </w:r>
          </w:p>
        </w:tc>
        <w:tc>
          <w:tcPr>
            <w:tcW w:w="2273" w:type="dxa"/>
            <w:tcMar>
              <w:top w:w="60" w:type="dxa"/>
              <w:left w:w="120" w:type="dxa"/>
              <w:bottom w:w="30" w:type="dxa"/>
              <w:right w:w="120" w:type="dxa"/>
            </w:tcMar>
            <w:vAlign w:val="center"/>
          </w:tcPr>
          <w:p w14:paraId="00F7CB11">
            <w:pPr>
              <w:spacing w:before="120" w:after="120" w:line="288" w:lineRule="auto"/>
              <w:ind w:left="0"/>
              <w:jc w:val="center"/>
              <w:rPr>
                <w:rFonts w:hint="eastAsia" w:eastAsia="等线"/>
                <w:b/>
                <w:bCs/>
                <w:sz w:val="22"/>
                <w:szCs w:val="24"/>
                <w:lang w:eastAsia="zh-CN"/>
              </w:rPr>
            </w:pPr>
            <w:r>
              <w:rPr>
                <w:rFonts w:hint="eastAsia" w:ascii="Times New Roman" w:hAnsi="Arial" w:eastAsia="微软雅黑" w:cs="Arial"/>
                <w:b/>
                <w:bCs/>
                <w:sz w:val="24"/>
                <w:szCs w:val="24"/>
                <w:lang w:eastAsia="zh-CN"/>
              </w:rPr>
              <w:t>Overseas disc spring brands</w:t>
            </w:r>
          </w:p>
        </w:tc>
        <w:tc>
          <w:tcPr>
            <w:tcW w:w="3139" w:type="dxa"/>
            <w:tcMar>
              <w:top w:w="60" w:type="dxa"/>
              <w:left w:w="120" w:type="dxa"/>
              <w:bottom w:w="30" w:type="dxa"/>
              <w:right w:w="120" w:type="dxa"/>
            </w:tcMar>
            <w:vAlign w:val="center"/>
          </w:tcPr>
          <w:p w14:paraId="0D1D6D82">
            <w:pPr>
              <w:spacing w:before="120" w:after="120" w:line="288" w:lineRule="auto"/>
              <w:ind w:left="0"/>
              <w:jc w:val="center"/>
              <w:rPr>
                <w:rFonts w:hint="eastAsia" w:ascii="Arial" w:hAnsi="Arial" w:eastAsia="等线" w:cs="Arial"/>
                <w:b/>
                <w:bCs/>
                <w:sz w:val="24"/>
                <w:szCs w:val="24"/>
                <w:lang w:eastAsia="zh-CN"/>
              </w:rPr>
            </w:pPr>
            <w:r>
              <w:rPr>
                <w:rFonts w:hint="eastAsia" w:ascii="Times New Roman" w:hAnsi="Arial" w:eastAsia="微软雅黑" w:cs="Arial"/>
                <w:b/>
                <w:bCs/>
                <w:sz w:val="24"/>
                <w:szCs w:val="24"/>
                <w:lang w:eastAsia="zh-CN"/>
              </w:rPr>
              <w:t xml:space="preserve">Jiangsu </w:t>
            </w:r>
            <w:r>
              <w:rPr>
                <w:rFonts w:hint="eastAsia" w:hAnsi="Arial" w:eastAsia="微软雅黑" w:cs="Arial"/>
                <w:b/>
                <w:bCs/>
                <w:sz w:val="24"/>
                <w:szCs w:val="24"/>
                <w:lang w:eastAsia="zh-CN"/>
              </w:rPr>
              <w:t>Sunzo</w:t>
            </w:r>
          </w:p>
          <w:p w14:paraId="496752A8">
            <w:pPr>
              <w:spacing w:before="120" w:after="120" w:line="288" w:lineRule="auto"/>
              <w:ind w:left="0"/>
              <w:jc w:val="center"/>
              <w:rPr>
                <w:rFonts w:hint="eastAsia" w:eastAsia="等线"/>
                <w:b/>
                <w:bCs/>
                <w:sz w:val="22"/>
                <w:szCs w:val="24"/>
                <w:lang w:eastAsia="zh-CN"/>
              </w:rPr>
            </w:pPr>
            <w:r>
              <w:rPr>
                <w:rFonts w:hint="eastAsia" w:ascii="Times New Roman" w:hAnsi="Arial" w:eastAsia="微软雅黑" w:cs="Arial"/>
                <w:b/>
                <w:bCs/>
                <w:sz w:val="24"/>
                <w:szCs w:val="24"/>
                <w:lang w:eastAsia="zh-CN"/>
              </w:rPr>
              <w:t>(Specialized disc springs for electrolysis cells)</w:t>
            </w:r>
          </w:p>
        </w:tc>
        <w:tc>
          <w:tcPr>
            <w:tcW w:w="2446" w:type="dxa"/>
            <w:tcMar>
              <w:top w:w="60" w:type="dxa"/>
              <w:left w:w="120" w:type="dxa"/>
              <w:bottom w:w="30" w:type="dxa"/>
              <w:right w:w="120" w:type="dxa"/>
            </w:tcMar>
            <w:vAlign w:val="center"/>
          </w:tcPr>
          <w:p w14:paraId="73B1713A">
            <w:pPr>
              <w:spacing w:before="120" w:after="120" w:line="288" w:lineRule="auto"/>
              <w:ind w:left="0"/>
              <w:jc w:val="center"/>
              <w:rPr>
                <w:rFonts w:hint="eastAsia" w:eastAsia="等线"/>
                <w:b/>
                <w:bCs/>
                <w:sz w:val="22"/>
                <w:szCs w:val="24"/>
                <w:lang w:eastAsia="zh-CN"/>
              </w:rPr>
            </w:pPr>
            <w:r>
              <w:rPr>
                <w:rFonts w:hint="eastAsia" w:ascii="Times New Roman" w:hAnsi="Arial" w:eastAsia="微软雅黑" w:cs="Arial"/>
                <w:b/>
                <w:bCs/>
                <w:sz w:val="24"/>
                <w:szCs w:val="24"/>
                <w:lang w:eastAsia="zh-CN"/>
              </w:rPr>
              <w:t>Customer Comprehensive Benefits</w:t>
            </w:r>
          </w:p>
        </w:tc>
      </w:tr>
      <w:tr w14:paraId="79905B3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15" w:type="dxa"/>
            <w:tcMar>
              <w:top w:w="60" w:type="dxa"/>
              <w:left w:w="120" w:type="dxa"/>
              <w:bottom w:w="30" w:type="dxa"/>
              <w:right w:w="120" w:type="dxa"/>
            </w:tcMar>
            <w:vAlign w:val="center"/>
          </w:tcPr>
          <w:p w14:paraId="1C120841">
            <w:pPr>
              <w:spacing w:before="120" w:after="120" w:line="288" w:lineRule="auto"/>
              <w:ind w:left="0"/>
              <w:jc w:val="center"/>
              <w:rPr>
                <w:rFonts w:hint="eastAsia" w:eastAsia="等线"/>
                <w:b/>
                <w:bCs/>
                <w:lang w:eastAsia="zh-CN"/>
              </w:rPr>
            </w:pPr>
            <w:r>
              <w:rPr>
                <w:rFonts w:hint="eastAsia" w:ascii="Times New Roman" w:hAnsi="Arial" w:eastAsia="微软雅黑" w:cs="Arial"/>
                <w:b/>
                <w:bCs/>
                <w:sz w:val="22"/>
                <w:szCs w:val="22"/>
                <w:lang w:eastAsia="zh-CN"/>
              </w:rPr>
              <w:t>Product procurement cost</w:t>
            </w:r>
          </w:p>
        </w:tc>
        <w:tc>
          <w:tcPr>
            <w:tcW w:w="2273" w:type="dxa"/>
            <w:tcMar>
              <w:top w:w="60" w:type="dxa"/>
              <w:left w:w="120" w:type="dxa"/>
              <w:bottom w:w="30" w:type="dxa"/>
              <w:right w:w="120" w:type="dxa"/>
            </w:tcMar>
          </w:tcPr>
          <w:p w14:paraId="2C5EE87B">
            <w:pPr>
              <w:spacing w:before="120" w:after="120" w:line="288" w:lineRule="auto"/>
              <w:ind w:left="0"/>
              <w:jc w:val="left"/>
              <w:rPr>
                <w:rFonts w:hint="eastAsia" w:eastAsia="等线"/>
                <w:lang w:eastAsia="zh-CN"/>
              </w:rPr>
            </w:pPr>
            <w:r>
              <w:rPr>
                <w:rFonts w:hint="eastAsia" w:ascii="Times New Roman" w:hAnsi="Arial" w:eastAsia="微软雅黑" w:cs="Arial"/>
                <w:sz w:val="22"/>
                <w:szCs w:val="22"/>
                <w:lang w:eastAsia="zh-CN"/>
              </w:rPr>
              <w:t>High premiums; the overall procurement cost increases by 40%–80%.</w:t>
            </w:r>
          </w:p>
        </w:tc>
        <w:tc>
          <w:tcPr>
            <w:tcW w:w="3139" w:type="dxa"/>
            <w:tcMar>
              <w:top w:w="60" w:type="dxa"/>
              <w:left w:w="120" w:type="dxa"/>
              <w:bottom w:w="30" w:type="dxa"/>
              <w:right w:w="120" w:type="dxa"/>
            </w:tcMar>
          </w:tcPr>
          <w:p w14:paraId="1291F207">
            <w:pPr>
              <w:spacing w:before="120" w:after="120" w:line="288" w:lineRule="auto"/>
              <w:ind w:left="0"/>
              <w:jc w:val="left"/>
              <w:rPr>
                <w:rFonts w:hint="eastAsia" w:eastAsia="等线"/>
                <w:lang w:eastAsia="zh-CN"/>
              </w:rPr>
            </w:pPr>
            <w:r>
              <w:rPr>
                <w:rFonts w:hint="eastAsia" w:ascii="Times New Roman" w:hAnsi="Arial" w:eastAsia="微软雅黑" w:cs="Arial"/>
                <w:sz w:val="22"/>
                <w:szCs w:val="22"/>
                <w:lang w:eastAsia="zh-CN"/>
              </w:rPr>
              <w:t>Self-developed end-to-end production enables a reduction in unit procurement cost by 30%–50%.</w:t>
            </w:r>
          </w:p>
        </w:tc>
        <w:tc>
          <w:tcPr>
            <w:tcW w:w="2446" w:type="dxa"/>
            <w:tcMar>
              <w:top w:w="60" w:type="dxa"/>
              <w:left w:w="120" w:type="dxa"/>
              <w:bottom w:w="30" w:type="dxa"/>
              <w:right w:w="120" w:type="dxa"/>
            </w:tcMar>
          </w:tcPr>
          <w:p w14:paraId="7BD1FE32">
            <w:pPr>
              <w:spacing w:before="120" w:after="120" w:line="288" w:lineRule="auto"/>
              <w:ind w:left="0"/>
              <w:jc w:val="left"/>
              <w:rPr>
                <w:rFonts w:hint="eastAsia" w:eastAsia="等线"/>
                <w:lang w:eastAsia="zh-CN"/>
              </w:rPr>
            </w:pPr>
            <w:r>
              <w:rPr>
                <w:rFonts w:hint="eastAsia" w:ascii="Times New Roman" w:hAnsi="Arial" w:eastAsia="微软雅黑" w:cs="Arial"/>
                <w:sz w:val="22"/>
                <w:szCs w:val="22"/>
                <w:lang w:eastAsia="zh-CN"/>
              </w:rPr>
              <w:t>Batch procurement directly reduces material costs.</w:t>
            </w:r>
          </w:p>
        </w:tc>
      </w:tr>
      <w:tr w14:paraId="77DC31C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15" w:type="dxa"/>
            <w:tcMar>
              <w:top w:w="60" w:type="dxa"/>
              <w:left w:w="120" w:type="dxa"/>
              <w:bottom w:w="30" w:type="dxa"/>
              <w:right w:w="120" w:type="dxa"/>
            </w:tcMar>
            <w:vAlign w:val="center"/>
          </w:tcPr>
          <w:p w14:paraId="6D922052">
            <w:pPr>
              <w:spacing w:before="120" w:after="120" w:line="288" w:lineRule="auto"/>
              <w:ind w:left="0"/>
              <w:jc w:val="center"/>
              <w:rPr>
                <w:rFonts w:hint="eastAsia" w:eastAsia="等线"/>
                <w:b/>
                <w:bCs/>
                <w:lang w:eastAsia="zh-CN"/>
              </w:rPr>
            </w:pPr>
            <w:r>
              <w:rPr>
                <w:rFonts w:hint="eastAsia" w:ascii="Times New Roman" w:hAnsi="Arial" w:eastAsia="微软雅黑" w:cs="Arial"/>
                <w:b/>
                <w:bCs/>
                <w:sz w:val="22"/>
                <w:szCs w:val="22"/>
                <w:lang w:eastAsia="zh-CN"/>
              </w:rPr>
              <w:t>delivery cycle</w:t>
            </w:r>
          </w:p>
        </w:tc>
        <w:tc>
          <w:tcPr>
            <w:tcW w:w="2273" w:type="dxa"/>
            <w:tcMar>
              <w:top w:w="60" w:type="dxa"/>
              <w:left w:w="120" w:type="dxa"/>
              <w:bottom w:w="30" w:type="dxa"/>
              <w:right w:w="120" w:type="dxa"/>
            </w:tcMar>
          </w:tcPr>
          <w:p w14:paraId="15191E69">
            <w:pPr>
              <w:spacing w:before="120" w:after="120" w:line="288" w:lineRule="auto"/>
              <w:ind w:left="0"/>
              <w:jc w:val="left"/>
              <w:rPr>
                <w:rFonts w:hint="eastAsia" w:eastAsia="等线"/>
                <w:lang w:eastAsia="zh-CN"/>
              </w:rPr>
            </w:pPr>
            <w:r>
              <w:rPr>
                <w:rFonts w:hint="eastAsia" w:ascii="Times New Roman" w:hAnsi="Arial" w:eastAsia="微软雅黑" w:cs="Arial"/>
                <w:sz w:val="22"/>
                <w:szCs w:val="22"/>
                <w:lang w:eastAsia="zh-CN"/>
              </w:rPr>
              <w:t>Standard parts lead time: 2–3 months; non-standard custom parts lead time: 3 months or more</w:t>
            </w:r>
          </w:p>
        </w:tc>
        <w:tc>
          <w:tcPr>
            <w:tcW w:w="3139" w:type="dxa"/>
            <w:tcMar>
              <w:top w:w="60" w:type="dxa"/>
              <w:left w:w="120" w:type="dxa"/>
              <w:bottom w:w="30" w:type="dxa"/>
              <w:right w:w="120" w:type="dxa"/>
            </w:tcMar>
          </w:tcPr>
          <w:p w14:paraId="6AF7A0FB">
            <w:pPr>
              <w:spacing w:before="120" w:after="120" w:line="288" w:lineRule="auto"/>
              <w:ind w:left="0"/>
              <w:jc w:val="left"/>
              <w:rPr>
                <w:rFonts w:hint="eastAsia" w:eastAsia="等线"/>
                <w:lang w:eastAsia="zh-CN"/>
              </w:rPr>
            </w:pPr>
            <w:r>
              <w:rPr>
                <w:rFonts w:hint="eastAsia" w:ascii="Times New Roman" w:hAnsi="Arial" w:eastAsia="微软雅黑" w:cs="Arial"/>
                <w:sz w:val="22"/>
                <w:szCs w:val="22"/>
                <w:lang w:eastAsia="zh-CN"/>
              </w:rPr>
              <w:t>Standard现货 products are available with fast shipping; non-standard samples can be delivered within a short period; the batch supply cycle is 3–4 weeks.</w:t>
            </w:r>
          </w:p>
        </w:tc>
        <w:tc>
          <w:tcPr>
            <w:tcW w:w="2446" w:type="dxa"/>
            <w:tcMar>
              <w:top w:w="60" w:type="dxa"/>
              <w:left w:w="120" w:type="dxa"/>
              <w:bottom w:w="30" w:type="dxa"/>
              <w:right w:w="120" w:type="dxa"/>
            </w:tcMar>
          </w:tcPr>
          <w:p w14:paraId="37F41E16">
            <w:pPr>
              <w:spacing w:before="120" w:after="120" w:line="288" w:lineRule="auto"/>
              <w:ind w:left="0"/>
              <w:jc w:val="left"/>
              <w:rPr>
                <w:rFonts w:hint="eastAsia" w:eastAsia="等线"/>
                <w:lang w:eastAsia="zh-CN"/>
              </w:rPr>
            </w:pPr>
            <w:r>
              <w:rPr>
                <w:rFonts w:hint="eastAsia" w:ascii="Times New Roman" w:hAnsi="Arial" w:eastAsia="微软雅黑" w:cs="Arial"/>
                <w:sz w:val="22"/>
                <w:szCs w:val="22"/>
                <w:lang w:eastAsia="zh-CN"/>
              </w:rPr>
              <w:t>Aligns with project commissioning milestones, eliminating any risk of delays.</w:t>
            </w:r>
          </w:p>
        </w:tc>
      </w:tr>
      <w:tr w14:paraId="08B0605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15" w:type="dxa"/>
            <w:tcMar>
              <w:top w:w="60" w:type="dxa"/>
              <w:left w:w="120" w:type="dxa"/>
              <w:bottom w:w="30" w:type="dxa"/>
              <w:right w:w="120" w:type="dxa"/>
            </w:tcMar>
            <w:vAlign w:val="center"/>
          </w:tcPr>
          <w:p w14:paraId="63E2675F">
            <w:pPr>
              <w:spacing w:before="120" w:after="120" w:line="288" w:lineRule="auto"/>
              <w:ind w:left="0"/>
              <w:jc w:val="center"/>
              <w:rPr>
                <w:rFonts w:hint="eastAsia" w:eastAsia="等线"/>
                <w:b/>
                <w:bCs/>
                <w:lang w:eastAsia="zh-CN"/>
              </w:rPr>
            </w:pPr>
            <w:r>
              <w:rPr>
                <w:rFonts w:hint="eastAsia" w:ascii="Times New Roman" w:hAnsi="Arial" w:eastAsia="微软雅黑" w:cs="Arial"/>
                <w:b/>
                <w:bCs/>
                <w:sz w:val="22"/>
                <w:szCs w:val="22"/>
                <w:lang w:eastAsia="zh-CN"/>
              </w:rPr>
              <w:t>Custom Development Capabilities</w:t>
            </w:r>
          </w:p>
        </w:tc>
        <w:tc>
          <w:tcPr>
            <w:tcW w:w="2273" w:type="dxa"/>
            <w:tcMar>
              <w:top w:w="60" w:type="dxa"/>
              <w:left w:w="120" w:type="dxa"/>
              <w:bottom w:w="30" w:type="dxa"/>
              <w:right w:w="120" w:type="dxa"/>
            </w:tcMar>
          </w:tcPr>
          <w:p w14:paraId="720A5219">
            <w:pPr>
              <w:spacing w:before="120" w:after="120" w:line="288" w:lineRule="auto"/>
              <w:ind w:left="0"/>
              <w:jc w:val="left"/>
              <w:rPr>
                <w:rFonts w:hint="eastAsia" w:eastAsia="等线"/>
                <w:lang w:eastAsia="zh-CN"/>
              </w:rPr>
            </w:pPr>
            <w:r>
              <w:rPr>
                <w:rFonts w:hint="eastAsia" w:ascii="Times New Roman" w:hAnsi="Arial" w:eastAsia="微软雅黑" w:cs="Arial"/>
                <w:sz w:val="22"/>
                <w:szCs w:val="22"/>
                <w:lang w:eastAsia="zh-CN"/>
              </w:rPr>
              <w:t>We only provide standardized mass-produced components; we do not undertake small-batch customization orders.</w:t>
            </w:r>
          </w:p>
        </w:tc>
        <w:tc>
          <w:tcPr>
            <w:tcW w:w="3139" w:type="dxa"/>
            <w:tcMar>
              <w:top w:w="60" w:type="dxa"/>
              <w:left w:w="120" w:type="dxa"/>
              <w:bottom w:w="30" w:type="dxa"/>
              <w:right w:w="120" w:type="dxa"/>
            </w:tcMar>
          </w:tcPr>
          <w:p w14:paraId="77E9C229">
            <w:pPr>
              <w:spacing w:before="120" w:after="120" w:line="288" w:lineRule="auto"/>
              <w:ind w:left="0"/>
              <w:jc w:val="left"/>
              <w:rPr>
                <w:rFonts w:hint="eastAsia" w:eastAsia="等线"/>
                <w:lang w:eastAsia="zh-CN"/>
              </w:rPr>
            </w:pPr>
            <w:r>
              <w:rPr>
                <w:rFonts w:hint="eastAsia" w:ascii="Times New Roman" w:hAnsi="Arial" w:eastAsia="微软雅黑" w:cs="Arial"/>
                <w:sz w:val="22"/>
                <w:szCs w:val="22"/>
                <w:lang w:eastAsia="zh-CN"/>
              </w:rPr>
              <w:t>Supports custom orders for single items, enabling specialized process optimization tailored for specific operating conditions such as heavy-duty applications or anti-curling requirements.</w:t>
            </w:r>
          </w:p>
        </w:tc>
        <w:tc>
          <w:tcPr>
            <w:tcW w:w="2446" w:type="dxa"/>
            <w:tcMar>
              <w:top w:w="60" w:type="dxa"/>
              <w:left w:w="120" w:type="dxa"/>
              <w:bottom w:w="30" w:type="dxa"/>
              <w:right w:w="120" w:type="dxa"/>
            </w:tcMar>
          </w:tcPr>
          <w:p w14:paraId="474D764C">
            <w:pPr>
              <w:spacing w:before="120" w:after="120" w:line="288" w:lineRule="auto"/>
              <w:ind w:left="0"/>
              <w:jc w:val="left"/>
              <w:rPr>
                <w:rFonts w:hint="eastAsia" w:eastAsia="等线"/>
                <w:lang w:eastAsia="zh-CN"/>
              </w:rPr>
            </w:pPr>
            <w:r>
              <w:rPr>
                <w:rFonts w:hint="eastAsia" w:ascii="Times New Roman" w:hAnsi="Arial" w:eastAsia="微软雅黑" w:cs="Arial"/>
                <w:sz w:val="22"/>
                <w:szCs w:val="22"/>
                <w:lang w:eastAsia="zh-CN"/>
              </w:rPr>
              <w:t>Addressing scenarios where standardized products cannot be adapted to the operating conditions of specialized equipment</w:t>
            </w:r>
          </w:p>
        </w:tc>
      </w:tr>
      <w:tr w14:paraId="5A48B2B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15" w:type="dxa"/>
            <w:tcMar>
              <w:top w:w="60" w:type="dxa"/>
              <w:left w:w="120" w:type="dxa"/>
              <w:bottom w:w="30" w:type="dxa"/>
              <w:right w:w="120" w:type="dxa"/>
            </w:tcMar>
            <w:vAlign w:val="center"/>
          </w:tcPr>
          <w:p w14:paraId="714FBFA3">
            <w:pPr>
              <w:spacing w:before="120" w:after="120" w:line="288" w:lineRule="auto"/>
              <w:ind w:left="0"/>
              <w:jc w:val="center"/>
              <w:rPr>
                <w:rFonts w:hint="eastAsia" w:eastAsia="等线"/>
                <w:b/>
                <w:bCs/>
                <w:lang w:eastAsia="zh-CN"/>
              </w:rPr>
            </w:pPr>
            <w:r>
              <w:rPr>
                <w:rFonts w:hint="eastAsia" w:ascii="Times New Roman" w:hAnsi="Arial" w:eastAsia="微软雅黑" w:cs="Arial"/>
                <w:b/>
                <w:bCs/>
                <w:sz w:val="22"/>
                <w:szCs w:val="22"/>
                <w:lang w:eastAsia="zh-CN"/>
              </w:rPr>
              <w:t>Load Consistency Control</w:t>
            </w:r>
          </w:p>
        </w:tc>
        <w:tc>
          <w:tcPr>
            <w:tcW w:w="2273" w:type="dxa"/>
            <w:tcMar>
              <w:top w:w="60" w:type="dxa"/>
              <w:left w:w="120" w:type="dxa"/>
              <w:bottom w:w="30" w:type="dxa"/>
              <w:right w:w="120" w:type="dxa"/>
            </w:tcMar>
          </w:tcPr>
          <w:p w14:paraId="45EA9F99">
            <w:pPr>
              <w:spacing w:before="120" w:after="120" w:line="288" w:lineRule="auto"/>
              <w:ind w:left="0"/>
              <w:jc w:val="left"/>
              <w:rPr>
                <w:rFonts w:hint="eastAsia" w:eastAsia="等线"/>
                <w:lang w:eastAsia="zh-CN"/>
              </w:rPr>
            </w:pPr>
            <w:r>
              <w:rPr>
                <w:rFonts w:hint="eastAsia" w:ascii="Times New Roman" w:hAnsi="Arial" w:eastAsia="微软雅黑" w:cs="Arial"/>
                <w:sz w:val="22"/>
                <w:szCs w:val="22"/>
                <w:lang w:eastAsia="zh-CN"/>
              </w:rPr>
              <w:t>Load tolerance: ±5%</w:t>
            </w:r>
          </w:p>
        </w:tc>
        <w:tc>
          <w:tcPr>
            <w:tcW w:w="3139" w:type="dxa"/>
            <w:tcMar>
              <w:top w:w="60" w:type="dxa"/>
              <w:left w:w="120" w:type="dxa"/>
              <w:bottom w:w="30" w:type="dxa"/>
              <w:right w:w="120" w:type="dxa"/>
            </w:tcMar>
          </w:tcPr>
          <w:p w14:paraId="29138DA9">
            <w:pPr>
              <w:spacing w:before="120" w:after="120" w:line="288" w:lineRule="auto"/>
              <w:ind w:left="0"/>
              <w:jc w:val="left"/>
              <w:rPr>
                <w:rFonts w:hint="eastAsia" w:eastAsia="等线"/>
                <w:lang w:eastAsia="zh-CN"/>
              </w:rPr>
            </w:pPr>
            <w:r>
              <w:rPr>
                <w:rFonts w:hint="eastAsia" w:ascii="Times New Roman" w:hAnsi="Arial" w:eastAsia="微软雅黑" w:cs="Arial"/>
                <w:sz w:val="22"/>
                <w:szCs w:val="22"/>
                <w:lang w:eastAsia="zh-CN"/>
              </w:rPr>
              <w:t>Full inspection and sorting; strict control of load tolerance at ±3%; supported by a precision cone blanking process.</w:t>
            </w:r>
          </w:p>
        </w:tc>
        <w:tc>
          <w:tcPr>
            <w:tcW w:w="2446" w:type="dxa"/>
            <w:tcMar>
              <w:top w:w="60" w:type="dxa"/>
              <w:left w:w="120" w:type="dxa"/>
              <w:bottom w:w="30" w:type="dxa"/>
              <w:right w:w="120" w:type="dxa"/>
            </w:tcMar>
          </w:tcPr>
          <w:p w14:paraId="4522787F">
            <w:pPr>
              <w:spacing w:before="120" w:after="120" w:line="288" w:lineRule="auto"/>
              <w:ind w:left="0"/>
              <w:jc w:val="left"/>
              <w:rPr>
                <w:rFonts w:hint="eastAsia" w:eastAsia="等线"/>
                <w:lang w:eastAsia="zh-CN"/>
              </w:rPr>
            </w:pPr>
            <w:r>
              <w:rPr>
                <w:rFonts w:hint="eastAsia" w:ascii="Times New Roman" w:hAnsi="Arial" w:eastAsia="微软雅黑" w:cs="Arial"/>
                <w:sz w:val="22"/>
                <w:szCs w:val="22"/>
                <w:lang w:eastAsia="zh-CN"/>
              </w:rPr>
              <w:t>The stack pressure distribution is uniform, thereby reducing energy consumption and minimizing localized overheating failures.</w:t>
            </w:r>
          </w:p>
        </w:tc>
      </w:tr>
      <w:tr w14:paraId="7884CE4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15" w:type="dxa"/>
            <w:tcMar>
              <w:top w:w="60" w:type="dxa"/>
              <w:left w:w="120" w:type="dxa"/>
              <w:bottom w:w="30" w:type="dxa"/>
              <w:right w:w="120" w:type="dxa"/>
            </w:tcMar>
            <w:vAlign w:val="center"/>
          </w:tcPr>
          <w:p w14:paraId="067E1474">
            <w:pPr>
              <w:spacing w:before="120" w:after="120" w:line="288" w:lineRule="auto"/>
              <w:ind w:left="0"/>
              <w:jc w:val="center"/>
              <w:rPr>
                <w:rFonts w:hint="eastAsia" w:eastAsia="等线"/>
                <w:b/>
                <w:bCs/>
                <w:lang w:eastAsia="zh-CN"/>
              </w:rPr>
            </w:pPr>
            <w:r>
              <w:rPr>
                <w:rFonts w:hint="eastAsia" w:ascii="Times New Roman" w:hAnsi="Arial" w:eastAsia="微软雅黑" w:cs="Arial"/>
                <w:b/>
                <w:bCs/>
                <w:sz w:val="22"/>
                <w:szCs w:val="22"/>
                <w:lang w:eastAsia="zh-CN"/>
              </w:rPr>
              <w:t>Specialized Material Plan for Operating Conditions</w:t>
            </w:r>
          </w:p>
        </w:tc>
        <w:tc>
          <w:tcPr>
            <w:tcW w:w="2273" w:type="dxa"/>
            <w:tcMar>
              <w:top w:w="60" w:type="dxa"/>
              <w:left w:w="120" w:type="dxa"/>
              <w:bottom w:w="30" w:type="dxa"/>
              <w:right w:w="120" w:type="dxa"/>
            </w:tcMar>
          </w:tcPr>
          <w:p w14:paraId="781583FB">
            <w:pPr>
              <w:spacing w:before="120" w:after="120" w:line="288" w:lineRule="auto"/>
              <w:ind w:left="0"/>
              <w:jc w:val="left"/>
              <w:rPr>
                <w:rFonts w:hint="eastAsia" w:eastAsia="等线"/>
                <w:lang w:eastAsia="zh-CN"/>
              </w:rPr>
            </w:pPr>
            <w:r>
              <w:rPr>
                <w:rFonts w:hint="eastAsia" w:ascii="Times New Roman" w:hAnsi="Arial" w:eastAsia="微软雅黑" w:cs="Arial"/>
                <w:sz w:val="22"/>
                <w:szCs w:val="22"/>
                <w:lang w:eastAsia="zh-CN"/>
              </w:rPr>
              <w:t>General standardized materials; no specialized optimization for hydrogen energy equipment.</w:t>
            </w:r>
          </w:p>
        </w:tc>
        <w:tc>
          <w:tcPr>
            <w:tcW w:w="3139" w:type="dxa"/>
            <w:tcMar>
              <w:top w:w="60" w:type="dxa"/>
              <w:left w:w="120" w:type="dxa"/>
              <w:bottom w:w="30" w:type="dxa"/>
              <w:right w:w="120" w:type="dxa"/>
            </w:tcMar>
          </w:tcPr>
          <w:p w14:paraId="42ECD7B1">
            <w:pPr>
              <w:spacing w:before="120" w:after="120" w:line="288" w:lineRule="auto"/>
              <w:ind w:left="0"/>
              <w:jc w:val="left"/>
              <w:rPr>
                <w:rFonts w:hint="eastAsia" w:eastAsia="等线"/>
                <w:lang w:eastAsia="zh-CN"/>
              </w:rPr>
            </w:pPr>
            <w:r>
              <w:rPr>
                <w:rFonts w:hint="eastAsia" w:ascii="Times New Roman" w:hAnsi="Arial" w:eastAsia="微软雅黑" w:cs="Arial"/>
                <w:sz w:val="22"/>
                <w:szCs w:val="22"/>
                <w:lang w:eastAsia="zh-CN"/>
              </w:rPr>
              <w:t>Features an ALK/PEM dual-material system paired with dedicated heat treatment to achieve creep resistance and hydrogen embrittlement resistance.</w:t>
            </w:r>
          </w:p>
        </w:tc>
        <w:tc>
          <w:tcPr>
            <w:tcW w:w="2446" w:type="dxa"/>
            <w:tcMar>
              <w:top w:w="60" w:type="dxa"/>
              <w:left w:w="120" w:type="dxa"/>
              <w:bottom w:w="30" w:type="dxa"/>
              <w:right w:w="120" w:type="dxa"/>
            </w:tcMar>
          </w:tcPr>
          <w:p w14:paraId="352E655E">
            <w:pPr>
              <w:spacing w:before="120" w:after="120" w:line="288" w:lineRule="auto"/>
              <w:ind w:left="0"/>
              <w:jc w:val="left"/>
              <w:rPr>
                <w:rFonts w:hint="eastAsia" w:eastAsia="等线"/>
                <w:lang w:eastAsia="zh-CN"/>
              </w:rPr>
            </w:pPr>
            <w:r>
              <w:rPr>
                <w:rFonts w:hint="eastAsia" w:ascii="Times New Roman" w:hAnsi="Arial" w:eastAsia="微软雅黑" w:cs="Arial"/>
                <w:sz w:val="22"/>
                <w:szCs w:val="22"/>
                <w:lang w:eastAsia="zh-CN"/>
              </w:rPr>
              <w:t>Extend the bolt retightening cycle to reduce downtime-induced production losses.</w:t>
            </w:r>
          </w:p>
        </w:tc>
      </w:tr>
      <w:tr w14:paraId="4039708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15" w:type="dxa"/>
            <w:tcMar>
              <w:top w:w="60" w:type="dxa"/>
              <w:left w:w="120" w:type="dxa"/>
              <w:bottom w:w="30" w:type="dxa"/>
              <w:right w:w="120" w:type="dxa"/>
            </w:tcMar>
            <w:vAlign w:val="center"/>
          </w:tcPr>
          <w:p w14:paraId="69CD8F31">
            <w:pPr>
              <w:spacing w:before="120" w:after="120" w:line="288" w:lineRule="auto"/>
              <w:ind w:left="0"/>
              <w:jc w:val="center"/>
              <w:rPr>
                <w:rFonts w:hint="eastAsia" w:eastAsia="等线"/>
                <w:b/>
                <w:bCs/>
                <w:lang w:eastAsia="zh-CN"/>
              </w:rPr>
            </w:pPr>
            <w:r>
              <w:rPr>
                <w:rFonts w:hint="eastAsia" w:ascii="Times New Roman" w:hAnsi="Arial" w:eastAsia="微软雅黑" w:cs="Arial"/>
                <w:b/>
                <w:bCs/>
                <w:sz w:val="22"/>
                <w:szCs w:val="22"/>
                <w:lang w:eastAsia="zh-CN"/>
              </w:rPr>
              <w:t>On-site Technical Services</w:t>
            </w:r>
          </w:p>
        </w:tc>
        <w:tc>
          <w:tcPr>
            <w:tcW w:w="2273" w:type="dxa"/>
            <w:tcMar>
              <w:top w:w="60" w:type="dxa"/>
              <w:left w:w="120" w:type="dxa"/>
              <w:bottom w:w="30" w:type="dxa"/>
              <w:right w:w="120" w:type="dxa"/>
            </w:tcMar>
          </w:tcPr>
          <w:p w14:paraId="2E79077E">
            <w:pPr>
              <w:spacing w:before="120" w:after="120" w:line="288" w:lineRule="auto"/>
              <w:ind w:left="0"/>
              <w:jc w:val="left"/>
              <w:rPr>
                <w:rFonts w:hint="eastAsia" w:eastAsia="等线"/>
                <w:lang w:eastAsia="zh-CN"/>
              </w:rPr>
            </w:pPr>
            <w:r>
              <w:rPr>
                <w:rFonts w:hint="eastAsia" w:ascii="Times New Roman" w:hAnsi="Arial" w:eastAsia="微软雅黑" w:cs="Arial"/>
                <w:sz w:val="22"/>
                <w:szCs w:val="22"/>
                <w:lang w:eastAsia="zh-CN"/>
              </w:rPr>
              <w:t>Communication is solely via remote email; no on-site engineers are stationed domestically.</w:t>
            </w:r>
          </w:p>
        </w:tc>
        <w:tc>
          <w:tcPr>
            <w:tcW w:w="3139" w:type="dxa"/>
            <w:tcMar>
              <w:top w:w="60" w:type="dxa"/>
              <w:left w:w="120" w:type="dxa"/>
              <w:bottom w:w="30" w:type="dxa"/>
              <w:right w:w="120" w:type="dxa"/>
            </w:tcMar>
          </w:tcPr>
          <w:p w14:paraId="45F4C2E3">
            <w:pPr>
              <w:spacing w:before="120" w:after="120" w:line="288" w:lineRule="auto"/>
              <w:ind w:left="0"/>
              <w:jc w:val="left"/>
              <w:rPr>
                <w:rFonts w:hint="eastAsia" w:eastAsia="等线"/>
                <w:lang w:eastAsia="zh-CN"/>
              </w:rPr>
            </w:pPr>
            <w:r>
              <w:rPr>
                <w:rFonts w:hint="eastAsia" w:ascii="Times New Roman" w:hAnsi="Arial" w:eastAsia="微软雅黑" w:cs="Arial"/>
                <w:sz w:val="22"/>
                <w:szCs w:val="22"/>
                <w:lang w:eastAsia="zh-CN"/>
              </w:rPr>
              <w:t>Comprehensive end-to-end services encompassing on-site operating condition investigation, simulation analysis, field assembly guidance, and failure analysis.</w:t>
            </w:r>
          </w:p>
        </w:tc>
        <w:tc>
          <w:tcPr>
            <w:tcW w:w="2446" w:type="dxa"/>
            <w:tcMar>
              <w:top w:w="60" w:type="dxa"/>
              <w:left w:w="120" w:type="dxa"/>
              <w:bottom w:w="30" w:type="dxa"/>
              <w:right w:w="120" w:type="dxa"/>
            </w:tcMar>
          </w:tcPr>
          <w:p w14:paraId="2D7A0355">
            <w:pPr>
              <w:spacing w:before="120" w:after="120" w:line="288" w:lineRule="auto"/>
              <w:ind w:left="0"/>
              <w:jc w:val="left"/>
              <w:rPr>
                <w:rFonts w:hint="eastAsia" w:eastAsia="等线"/>
                <w:lang w:eastAsia="zh-CN"/>
              </w:rPr>
            </w:pPr>
            <w:r>
              <w:rPr>
                <w:rFonts w:hint="eastAsia" w:ascii="Times New Roman" w:hAnsi="Arial" w:eastAsia="微软雅黑" w:cs="Arial"/>
                <w:sz w:val="22"/>
                <w:szCs w:val="22"/>
                <w:lang w:eastAsia="zh-CN"/>
              </w:rPr>
              <w:t>Eliminates third-party technical consulting fees</w:t>
            </w:r>
          </w:p>
        </w:tc>
      </w:tr>
      <w:tr w14:paraId="7519746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15" w:type="dxa"/>
            <w:tcMar>
              <w:top w:w="60" w:type="dxa"/>
              <w:left w:w="120" w:type="dxa"/>
              <w:bottom w:w="30" w:type="dxa"/>
              <w:right w:w="120" w:type="dxa"/>
            </w:tcMar>
            <w:vAlign w:val="center"/>
          </w:tcPr>
          <w:p w14:paraId="269798FA">
            <w:pPr>
              <w:spacing w:before="120" w:after="120" w:line="288" w:lineRule="auto"/>
              <w:ind w:left="0"/>
              <w:jc w:val="center"/>
              <w:rPr>
                <w:rFonts w:hint="eastAsia" w:eastAsia="等线"/>
                <w:b/>
                <w:bCs/>
                <w:lang w:eastAsia="zh-CN"/>
              </w:rPr>
            </w:pPr>
            <w:r>
              <w:rPr>
                <w:rFonts w:hint="eastAsia" w:ascii="Times New Roman" w:hAnsi="Arial" w:eastAsia="微软雅黑" w:cs="Arial"/>
                <w:b/>
                <w:bCs/>
                <w:sz w:val="22"/>
                <w:szCs w:val="22"/>
                <w:lang w:eastAsia="zh-CN"/>
              </w:rPr>
              <w:t>Test Report Supporting Materials</w:t>
            </w:r>
          </w:p>
        </w:tc>
        <w:tc>
          <w:tcPr>
            <w:tcW w:w="2273" w:type="dxa"/>
            <w:tcMar>
              <w:top w:w="60" w:type="dxa"/>
              <w:left w:w="120" w:type="dxa"/>
              <w:bottom w:w="30" w:type="dxa"/>
              <w:right w:w="120" w:type="dxa"/>
            </w:tcMar>
          </w:tcPr>
          <w:p w14:paraId="2010981A">
            <w:pPr>
              <w:spacing w:before="120" w:after="120" w:line="288" w:lineRule="auto"/>
              <w:ind w:left="0"/>
              <w:jc w:val="left"/>
              <w:rPr>
                <w:rFonts w:hint="eastAsia" w:eastAsia="等线"/>
                <w:lang w:eastAsia="zh-CN"/>
              </w:rPr>
            </w:pPr>
            <w:r>
              <w:rPr>
                <w:rFonts w:hint="eastAsia" w:ascii="Times New Roman" w:hAnsi="Arial" w:eastAsia="微软雅黑" w:cs="Arial"/>
                <w:sz w:val="22"/>
                <w:szCs w:val="22"/>
                <w:lang w:eastAsia="zh-CN"/>
              </w:rPr>
              <w:t>Only provides basic factory inspection data.</w:t>
            </w:r>
          </w:p>
        </w:tc>
        <w:tc>
          <w:tcPr>
            <w:tcW w:w="3139" w:type="dxa"/>
            <w:tcMar>
              <w:top w:w="60" w:type="dxa"/>
              <w:left w:w="120" w:type="dxa"/>
              <w:bottom w:w="30" w:type="dxa"/>
              <w:right w:w="120" w:type="dxa"/>
            </w:tcMar>
          </w:tcPr>
          <w:p w14:paraId="69F10D3B">
            <w:pPr>
              <w:spacing w:before="120" w:after="120" w:line="288" w:lineRule="auto"/>
              <w:ind w:left="0"/>
              <w:jc w:val="left"/>
              <w:rPr>
                <w:rFonts w:hint="eastAsia" w:eastAsia="等线"/>
                <w:lang w:eastAsia="zh-CN"/>
              </w:rPr>
            </w:pPr>
            <w:r>
              <w:rPr>
                <w:rFonts w:hint="eastAsia" w:ascii="Times New Roman" w:hAnsi="Arial" w:eastAsia="微软雅黑" w:cs="Arial"/>
                <w:sz w:val="22"/>
                <w:szCs w:val="22"/>
                <w:lang w:eastAsia="zh-CN"/>
              </w:rPr>
              <w:t>Complete report for the internal type approval of the full hydrogen energy equipment set; capable of coordinating with third-party institutions to conduct external testing.</w:t>
            </w:r>
          </w:p>
        </w:tc>
        <w:tc>
          <w:tcPr>
            <w:tcW w:w="2446" w:type="dxa"/>
            <w:tcMar>
              <w:top w:w="60" w:type="dxa"/>
              <w:left w:w="120" w:type="dxa"/>
              <w:bottom w:w="30" w:type="dxa"/>
              <w:right w:w="120" w:type="dxa"/>
            </w:tcMar>
          </w:tcPr>
          <w:p w14:paraId="5C71594B">
            <w:pPr>
              <w:spacing w:before="120" w:after="120" w:line="288" w:lineRule="auto"/>
              <w:ind w:left="0"/>
              <w:jc w:val="left"/>
              <w:rPr>
                <w:rFonts w:hint="eastAsia" w:eastAsia="等线"/>
                <w:lang w:eastAsia="zh-CN"/>
              </w:rPr>
            </w:pPr>
            <w:r>
              <w:rPr>
                <w:rFonts w:hint="eastAsia" w:ascii="Times New Roman" w:hAnsi="Arial" w:eastAsia="微软雅黑" w:cs="Arial"/>
                <w:sz w:val="22"/>
                <w:szCs w:val="22"/>
                <w:lang w:eastAsia="zh-CN"/>
              </w:rPr>
              <w:t>Shortening the supplier qualification review cycle to reduce customers' internal testing costs</w:t>
            </w:r>
          </w:p>
        </w:tc>
      </w:tr>
    </w:tbl>
    <w:p w14:paraId="3C965CDD">
      <w:pPr>
        <w:spacing w:before="320" w:after="120" w:line="288" w:lineRule="auto"/>
        <w:ind w:left="0"/>
        <w:jc w:val="left"/>
        <w:outlineLvl w:val="1"/>
        <w:rPr>
          <w:rFonts w:hint="eastAsia" w:eastAsia="等线"/>
          <w:lang w:eastAsia="zh-CN"/>
        </w:rPr>
      </w:pPr>
      <w:bookmarkStart w:id="32" w:name="heading_32"/>
      <w:r>
        <w:rPr>
          <w:rFonts w:hint="eastAsia" w:ascii="Times New Roman" w:hAnsi="Arial" w:eastAsia="微软雅黑" w:cs="Arial"/>
          <w:b/>
          <w:sz w:val="32"/>
          <w:szCs w:val="22"/>
          <w:lang w:eastAsia="zh-CN"/>
        </w:rPr>
        <w:t>VIII. Comprehensive performance improvement and cost-reduction benefits of batch installation implementation</w:t>
      </w:r>
      <w:bookmarkEnd w:id="32"/>
    </w:p>
    <w:p w14:paraId="1112B651">
      <w:pPr>
        <w:spacing w:before="300" w:after="120" w:line="288" w:lineRule="auto"/>
        <w:ind w:left="0"/>
        <w:jc w:val="left"/>
        <w:outlineLvl w:val="2"/>
        <w:rPr>
          <w:rFonts w:hint="eastAsia" w:eastAsia="等线"/>
          <w:lang w:eastAsia="zh-CN"/>
        </w:rPr>
      </w:pPr>
      <w:bookmarkStart w:id="33" w:name="heading_33"/>
      <w:r>
        <w:rPr>
          <w:rFonts w:hint="eastAsia" w:ascii="Times New Roman" w:hAnsi="Arial" w:eastAsia="微软雅黑" w:cs="Arial"/>
          <w:b/>
          <w:sz w:val="30"/>
          <w:szCs w:val="22"/>
          <w:lang w:eastAsia="zh-CN"/>
        </w:rPr>
        <w:t>8.1 Measured data for improvement of equipment operating performance</w:t>
      </w:r>
      <w:bookmarkEnd w:id="33"/>
    </w:p>
    <w:p w14:paraId="046E5144">
      <w:pPr>
        <w:numPr>
          <w:ilvl w:val="0"/>
          <w:numId w:val="16"/>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The disc spring load deviation is significantly reduced, the overall pressure non-uniformity across the fuel cell stack is markedly decreased, the electrode plate contact resistance per unit device is lowered, and the operational energy consumption for hydrogen production is optimized;</w:t>
      </w:r>
    </w:p>
    <w:p w14:paraId="4E5F8810">
      <w:pPr>
        <w:numPr>
          <w:ilvl w:val="0"/>
          <w:numId w:val="16"/>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Under high-load-limit compression conditions, the extent of high-temperature creep attenuation is significantly reduced, the bolt retightening cycle is substantially prolonged, and the annual downtime for maintenance is markedly shortened;</w:t>
      </w:r>
    </w:p>
    <w:p w14:paraId="3BCDA260">
      <w:pPr>
        <w:numPr>
          <w:ilvl w:val="0"/>
          <w:numId w:val="16"/>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The wear-resistant coating on the disc spring effectively prevents the shedding of metal debris, significantly reducing failures caused by electrolyte contamination or insulation breakdown;</w:t>
      </w:r>
    </w:p>
    <w:p w14:paraId="62C2AE6B">
      <w:pPr>
        <w:numPr>
          <w:ilvl w:val="0"/>
          <w:numId w:val="16"/>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The nickel-based alloy solution effectively mitigates the risk of hydrogen embrittlement-induced fracture under high-pressure hydrogen conditions, significantly extending the theoretical service life of the equipment.</w:t>
      </w:r>
    </w:p>
    <w:p w14:paraId="1D0788EE">
      <w:pPr>
        <w:spacing w:before="300" w:after="120" w:line="288" w:lineRule="auto"/>
        <w:ind w:left="0"/>
        <w:jc w:val="left"/>
        <w:outlineLvl w:val="2"/>
        <w:rPr>
          <w:rFonts w:hint="eastAsia" w:eastAsia="等线"/>
          <w:lang w:eastAsia="zh-CN"/>
        </w:rPr>
      </w:pPr>
      <w:bookmarkStart w:id="34" w:name="heading_34"/>
      <w:r>
        <w:rPr>
          <w:rFonts w:hint="eastAsia" w:ascii="Times New Roman" w:hAnsi="Arial" w:eastAsia="微软雅黑" w:cs="Arial"/>
          <w:b/>
          <w:sz w:val="30"/>
          <w:szCs w:val="22"/>
          <w:lang w:eastAsia="zh-CN"/>
        </w:rPr>
        <w:t>8.2 Project Overall Cost Reduction and Revenue Benefits</w:t>
      </w:r>
      <w:bookmarkEnd w:id="34"/>
    </w:p>
    <w:p w14:paraId="0DD37FE2">
      <w:pPr>
        <w:numPr>
          <w:ilvl w:val="0"/>
          <w:numId w:val="17"/>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The procurement cost per unit of disc springs has decreased, resulting in substantial annual material savings for mass production projects;</w:t>
      </w:r>
    </w:p>
    <w:p w14:paraId="2ACA6A33">
      <w:pPr>
        <w:numPr>
          <w:ilvl w:val="0"/>
          <w:numId w:val="17"/>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Significantly reduces the frequency of shutdowns and re-tightening operations, thereby saving annual operational and maintenance labor costs as well as avoiding production downtime losses for each individual piece of equipment;</w:t>
      </w:r>
    </w:p>
    <w:p w14:paraId="1FB82797">
      <w:pPr>
        <w:numPr>
          <w:ilvl w:val="0"/>
          <w:numId w:val="17"/>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Reduces the probability of disc spring fracture and sealing leakage failures, thereby preventing equipment scrapping and safety-related accident losses caused by medium leakage;</w:t>
      </w:r>
    </w:p>
    <w:p w14:paraId="354FBD6C">
      <w:pPr>
        <w:numPr>
          <w:ilvl w:val="0"/>
          <w:numId w:val="17"/>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Local production and delivery eliminate long-distance international logistics cycles, thereby reducing inventory holding costs for projects.</w:t>
      </w:r>
    </w:p>
    <w:p w14:paraId="5AC627F5">
      <w:pPr>
        <w:spacing w:before="320" w:after="120" w:line="288" w:lineRule="auto"/>
        <w:ind w:left="0"/>
        <w:jc w:val="left"/>
        <w:outlineLvl w:val="1"/>
        <w:rPr>
          <w:rFonts w:hint="eastAsia" w:eastAsia="等线"/>
          <w:lang w:eastAsia="zh-CN"/>
        </w:rPr>
      </w:pPr>
      <w:bookmarkStart w:id="35" w:name="heading_35"/>
      <w:r>
        <w:rPr>
          <w:rFonts w:hint="eastAsia" w:ascii="Times New Roman" w:hAnsi="Arial" w:eastAsia="微软雅黑" w:cs="Arial"/>
          <w:b/>
          <w:sz w:val="32"/>
          <w:szCs w:val="22"/>
          <w:lang w:eastAsia="zh-CN"/>
        </w:rPr>
        <w:t>IX. Sample Access &amp; Joint Development Standardization Cooperation Process</w:t>
      </w:r>
      <w:bookmarkEnd w:id="35"/>
    </w:p>
    <w:p w14:paraId="46F6942A">
      <w:pPr>
        <w:spacing w:before="300" w:after="120" w:line="288" w:lineRule="auto"/>
        <w:ind w:left="0"/>
        <w:jc w:val="left"/>
        <w:outlineLvl w:val="2"/>
        <w:rPr>
          <w:rFonts w:hint="eastAsia" w:eastAsia="等线"/>
          <w:lang w:eastAsia="zh-CN"/>
        </w:rPr>
      </w:pPr>
      <w:bookmarkStart w:id="36" w:name="heading_36"/>
      <w:r>
        <w:rPr>
          <w:rFonts w:hint="eastAsia" w:ascii="Times New Roman" w:hAnsi="Arial" w:eastAsia="微软雅黑" w:cs="Arial"/>
          <w:b/>
          <w:sz w:val="30"/>
          <w:szCs w:val="22"/>
          <w:lang w:eastAsia="zh-CN"/>
        </w:rPr>
        <w:t>9.1 Full-process access procedure for supplier samples</w:t>
      </w:r>
      <w:bookmarkEnd w:id="36"/>
    </w:p>
    <w:p w14:paraId="784283FC">
      <w:pPr>
        <w:numPr>
          <w:ilvl w:val="0"/>
          <w:numId w:val="18"/>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Coordinate with the client's technical team to synchronize electrolyzer operating condition parameters, equipment drawings, and acceptance test standards;</w:t>
      </w:r>
    </w:p>
    <w:p w14:paraId="611E47F6">
      <w:pPr>
        <w:numPr>
          <w:ilvl w:val="0"/>
          <w:numId w:val="18"/>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Provide a simulation-based output selection solution to confirm the disc spring material, dimensions, and stacking configuration;</w:t>
      </w:r>
    </w:p>
    <w:p w14:paraId="386EAF61">
      <w:pPr>
        <w:numPr>
          <w:ilvl w:val="0"/>
          <w:numId w:val="18"/>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Deliver the test samples on schedule, accompanied by a complete internal factory inspection report;</w:t>
      </w:r>
    </w:p>
    <w:p w14:paraId="1140EEEC">
      <w:pPr>
        <w:numPr>
          <w:ilvl w:val="0"/>
          <w:numId w:val="18"/>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Collaborate with the client's laboratory to complete the full suite of type tests, and, as required, coordinate with third-party testing institutions to supplement test data;</w:t>
      </w:r>
    </w:p>
    <w:p w14:paraId="6A112D0E">
      <w:pPr>
        <w:numPr>
          <w:ilvl w:val="0"/>
          <w:numId w:val="18"/>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Conduct small-batch in-machine comparison and installation testing, followed by continuous monitoring of equipment operational test data for 3 months;</w:t>
      </w:r>
    </w:p>
    <w:p w14:paraId="1CA14AF1">
      <w:pPr>
        <w:numPr>
          <w:ilvl w:val="0"/>
          <w:numId w:val="18"/>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Complete the customer and supplier qualification review and sign a long-term framework supply agreement.</w:t>
      </w:r>
    </w:p>
    <w:p w14:paraId="57D0632F">
      <w:pPr>
        <w:spacing w:before="300" w:after="120" w:line="288" w:lineRule="auto"/>
        <w:ind w:left="0"/>
        <w:jc w:val="left"/>
        <w:outlineLvl w:val="2"/>
        <w:rPr>
          <w:rFonts w:hint="eastAsia" w:eastAsia="等线"/>
          <w:lang w:eastAsia="zh-CN"/>
        </w:rPr>
      </w:pPr>
      <w:bookmarkStart w:id="37" w:name="heading_37"/>
      <w:r>
        <w:rPr>
          <w:rFonts w:hint="eastAsia" w:ascii="Times New Roman" w:hAnsi="Arial" w:eastAsia="微软雅黑" w:cs="Arial"/>
          <w:b/>
          <w:sz w:val="30"/>
          <w:szCs w:val="22"/>
          <w:lang w:eastAsia="zh-CN"/>
        </w:rPr>
        <w:t>9.2 Joint Development Cooperation Model</w:t>
      </w:r>
      <w:bookmarkEnd w:id="37"/>
    </w:p>
    <w:p w14:paraId="553905DD">
      <w:pPr>
        <w:spacing w:before="120" w:after="120" w:line="288" w:lineRule="auto"/>
        <w:ind w:left="0"/>
        <w:jc w:val="left"/>
        <w:rPr>
          <w:rFonts w:hint="eastAsia" w:eastAsia="等线"/>
          <w:lang w:eastAsia="zh-CN"/>
        </w:rPr>
      </w:pPr>
      <w:r>
        <w:rPr>
          <w:rFonts w:hint="eastAsia" w:ascii="Times New Roman" w:hAnsi="Arial" w:eastAsia="微软雅黑" w:cs="Arial"/>
          <w:sz w:val="22"/>
          <w:szCs w:val="22"/>
          <w:lang w:eastAsia="zh-CN"/>
        </w:rPr>
        <w:t>We are opening joint development channels for customers of high-power heavy-duty electrolysis cells and equipment operating under special conditions:</w:t>
      </w:r>
    </w:p>
    <w:p w14:paraId="68413FD5">
      <w:pPr>
        <w:numPr>
          <w:ilvl w:val="0"/>
          <w:numId w:val="19"/>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Both parties shall establish a specialized technical task force to share long-term operational failure data of the fuel cell stack;</w:t>
      </w:r>
    </w:p>
    <w:p w14:paraId="0D990EC4">
      <w:pPr>
        <w:numPr>
          <w:ilvl w:val="0"/>
          <w:numId w:val="19"/>
        </w:numPr>
        <w:spacing w:before="120" w:after="120" w:line="288" w:lineRule="auto"/>
        <w:ind w:left="425" w:leftChars="0" w:hanging="425" w:firstLineChars="0"/>
        <w:jc w:val="left"/>
        <w:rPr>
          <w:rFonts w:ascii="Arial" w:hAnsi="Arial" w:eastAsia="等线" w:cs="Arial"/>
          <w:sz w:val="22"/>
        </w:rPr>
      </w:pPr>
      <w:r>
        <w:rPr>
          <w:rFonts w:hint="eastAsia" w:hAnsi="Arial" w:eastAsia="微软雅黑" w:cs="Arial"/>
          <w:sz w:val="22"/>
          <w:szCs w:val="22"/>
          <w:lang w:eastAsia="zh-CN"/>
        </w:rPr>
        <w:t>Sunzo</w:t>
      </w:r>
      <w:r>
        <w:rPr>
          <w:rFonts w:hint="eastAsia" w:ascii="Times New Roman" w:hAnsi="Arial" w:eastAsia="微软雅黑" w:cs="Arial"/>
          <w:sz w:val="22"/>
          <w:szCs w:val="22"/>
          <w:lang w:eastAsia="zh-CN"/>
        </w:rPr>
        <w:t xml:space="preserve"> has invested in R&amp;D resources to optimize the forming process of disc springs' conical blanks, as well as their heat treatment and surface hardening processes;</w:t>
      </w:r>
    </w:p>
    <w:p w14:paraId="22B759D8">
      <w:pPr>
        <w:numPr>
          <w:ilvl w:val="0"/>
          <w:numId w:val="19"/>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The client provides an installation testing platform to collect long-term creep and fatigue experimental operational data;</w:t>
      </w:r>
    </w:p>
    <w:p w14:paraId="15776439">
      <w:pPr>
        <w:numPr>
          <w:ilvl w:val="0"/>
          <w:numId w:val="19"/>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Both parties may jointly apply for utility model patents and invention patents related to hydrogen energy-based elastic components and share the resulting technological achievements;</w:t>
      </w:r>
    </w:p>
    <w:p w14:paraId="19C31834">
      <w:pPr>
        <w:numPr>
          <w:ilvl w:val="0"/>
          <w:numId w:val="19"/>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Jointly developed finalized products will enjoy priority supply, exclusive pricing, and exclusive technical service rights.</w:t>
      </w:r>
    </w:p>
    <w:p w14:paraId="05320695">
      <w:pPr>
        <w:numPr>
          <w:ilvl w:val="0"/>
          <w:numId w:val="20"/>
        </w:numPr>
        <w:spacing w:before="320" w:after="120" w:line="288" w:lineRule="auto"/>
        <w:ind w:left="0" w:leftChars="0" w:firstLine="0" w:firstLineChars="0"/>
        <w:jc w:val="left"/>
        <w:outlineLvl w:val="1"/>
        <w:rPr>
          <w:rFonts w:ascii="Arial" w:hAnsi="Arial" w:eastAsia="等线" w:cs="Arial"/>
          <w:b/>
          <w:sz w:val="32"/>
        </w:rPr>
      </w:pPr>
      <w:bookmarkStart w:id="38" w:name="heading_38"/>
      <w:r>
        <w:rPr>
          <w:rFonts w:hint="eastAsia" w:ascii="Times New Roman" w:hAnsi="Arial" w:eastAsia="微软雅黑" w:cs="Arial"/>
          <w:b/>
          <w:sz w:val="32"/>
          <w:szCs w:val="22"/>
          <w:lang w:eastAsia="zh-CN"/>
        </w:rPr>
        <w:t>Summary of Typical Customer Application Scenarios for the Green Hydrogen Equipment Industry</w:t>
      </w:r>
      <w:bookmarkEnd w:id="38"/>
    </w:p>
    <w:p w14:paraId="544A337C">
      <w:pPr>
        <w:numPr>
          <w:ilvl w:val="0"/>
          <w:numId w:val="0"/>
        </w:numPr>
        <w:spacing w:before="320" w:after="120" w:line="288" w:lineRule="auto"/>
        <w:jc w:val="center"/>
        <w:outlineLvl w:val="1"/>
        <w:rPr>
          <w:rFonts w:hint="eastAsia" w:ascii="Arial" w:hAnsi="Arial" w:eastAsia="等线" w:cs="Arial"/>
          <w:b/>
          <w:sz w:val="32"/>
          <w:lang w:eastAsia="zh-CN"/>
        </w:rPr>
      </w:pPr>
      <w:r>
        <w:rPr>
          <w:rFonts w:hint="eastAsia" w:ascii="Arial" w:hAnsi="Arial" w:eastAsia="等线" w:cs="Arial"/>
          <w:b/>
          <w:sz w:val="32"/>
          <w:lang w:eastAsia="zh-CN"/>
        </w:rPr>
        <w:drawing>
          <wp:inline distT="0" distB="0" distL="114300" distR="114300">
            <wp:extent cx="3564255" cy="2068195"/>
            <wp:effectExtent l="0" t="0" r="17145" b="8255"/>
            <wp:docPr id="8" name="图片 8" descr="行业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行业图"/>
                    <pic:cNvPicPr>
                      <a:picLocks noChangeAspect="1"/>
                    </pic:cNvPicPr>
                  </pic:nvPicPr>
                  <pic:blipFill>
                    <a:blip r:embed="rId11"/>
                    <a:stretch>
                      <a:fillRect/>
                    </a:stretch>
                  </pic:blipFill>
                  <pic:spPr>
                    <a:xfrm>
                      <a:off x="0" y="0"/>
                      <a:ext cx="3564255" cy="2068195"/>
                    </a:xfrm>
                    <a:prstGeom prst="rect">
                      <a:avLst/>
                    </a:prstGeom>
                  </pic:spPr>
                </pic:pic>
              </a:graphicData>
            </a:graphic>
          </wp:inline>
        </w:drawing>
      </w:r>
    </w:p>
    <w:p w14:paraId="4EC4396F">
      <w:pPr>
        <w:numPr>
          <w:ilvl w:val="0"/>
          <w:numId w:val="21"/>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Large-scale alkaline electrolyzer equipment manufacturers: utilize large-diameter central tensioned laminated disc springs to address key challenges such as high-load creep and poor load consistency, while ensuring compatibility with local equipment supply chains;</w:t>
      </w:r>
    </w:p>
    <w:p w14:paraId="71F6D12F">
      <w:pPr>
        <w:numPr>
          <w:ilvl w:val="0"/>
          <w:numId w:val="21"/>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Integrated industrial hydrogen production equipment suppliers: provide standardized bolted mounting solutions featuring disc springs that are resistant to strong alkali corrosion and offer a long fatigue life, designed for supporting large-scale hydrogen production projects;</w:t>
      </w:r>
    </w:p>
    <w:p w14:paraId="7E2072C4">
      <w:pPr>
        <w:numPr>
          <w:ilvl w:val="0"/>
          <w:numId w:val="21"/>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High-pressure PEM electrolyzer head equipment supplier: utilizes high-quality spring steel substrates combined with Dacron corrosion-resistant coating, making it suitable for high-pressure hydrogen environments and frequent start-stop operations, thereby reducing the risk of hydrogen embrittlement failure;</w:t>
      </w:r>
    </w:p>
    <w:p w14:paraId="58DCDA04">
      <w:pPr>
        <w:numPr>
          <w:ilvl w:val="0"/>
          <w:numId w:val="21"/>
        </w:numPr>
        <w:spacing w:before="120" w:after="120" w:line="288" w:lineRule="auto"/>
        <w:ind w:left="425" w:leftChars="0" w:hanging="425" w:firstLineChars="0"/>
        <w:jc w:val="left"/>
        <w:rPr>
          <w:rFonts w:ascii="Arial" w:hAnsi="Arial" w:eastAsia="等线" w:cs="Arial"/>
          <w:sz w:val="22"/>
        </w:rPr>
      </w:pPr>
      <w:r>
        <w:rPr>
          <w:rFonts w:hint="eastAsia" w:ascii="Times New Roman" w:hAnsi="Arial" w:eastAsia="微软雅黑" w:cs="Arial"/>
          <w:sz w:val="22"/>
          <w:szCs w:val="22"/>
          <w:lang w:eastAsia="zh-CN"/>
        </w:rPr>
        <w:t>Distributed small-to-medium hydrogen production integrator: AEM lightweight miniature disc springs, designed to accommodate tight end plate installation spaces, ensuring long-term stable mass-producibility supply.</w:t>
      </w:r>
    </w:p>
    <w:p w14:paraId="315C5FAD">
      <w:pPr>
        <w:spacing w:before="120" w:after="120" w:line="288" w:lineRule="auto"/>
        <w:ind w:left="0"/>
        <w:jc w:val="left"/>
      </w:pP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2EE3E"/>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3858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ADEE62"/>
    <w:multiLevelType w:val="singleLevel"/>
    <w:tmpl w:val="85ADEE62"/>
    <w:lvl w:ilvl="0" w:tentative="0">
      <w:start w:val="1"/>
      <w:numFmt w:val="decimal"/>
      <w:lvlText w:val="%1)"/>
      <w:lvlJc w:val="left"/>
      <w:pPr>
        <w:ind w:left="425" w:hanging="425"/>
      </w:pPr>
      <w:rPr>
        <w:rFonts w:hint="default"/>
      </w:rPr>
    </w:lvl>
  </w:abstractNum>
  <w:abstractNum w:abstractNumId="1">
    <w:nsid w:val="A56EE0A4"/>
    <w:multiLevelType w:val="singleLevel"/>
    <w:tmpl w:val="A56EE0A4"/>
    <w:lvl w:ilvl="0" w:tentative="0">
      <w:start w:val="1"/>
      <w:numFmt w:val="decimal"/>
      <w:lvlText w:val="%1."/>
      <w:lvlJc w:val="left"/>
      <w:pPr>
        <w:ind w:left="425" w:hanging="425"/>
      </w:pPr>
      <w:rPr>
        <w:rFonts w:hint="default"/>
      </w:rPr>
    </w:lvl>
  </w:abstractNum>
  <w:abstractNum w:abstractNumId="2">
    <w:nsid w:val="AC4EDFA1"/>
    <w:multiLevelType w:val="singleLevel"/>
    <w:tmpl w:val="AC4EDFA1"/>
    <w:lvl w:ilvl="0" w:tentative="0">
      <w:start w:val="1"/>
      <w:numFmt w:val="decimal"/>
      <w:lvlText w:val="%1)"/>
      <w:lvlJc w:val="left"/>
      <w:pPr>
        <w:ind w:left="425" w:hanging="425"/>
      </w:pPr>
      <w:rPr>
        <w:rFonts w:hint="default"/>
      </w:rPr>
    </w:lvl>
  </w:abstractNum>
  <w:abstractNum w:abstractNumId="3">
    <w:nsid w:val="B61FB217"/>
    <w:multiLevelType w:val="singleLevel"/>
    <w:tmpl w:val="B61FB217"/>
    <w:lvl w:ilvl="0" w:tentative="0">
      <w:start w:val="1"/>
      <w:numFmt w:val="decimal"/>
      <w:lvlText w:val="%1)"/>
      <w:lvlJc w:val="left"/>
      <w:pPr>
        <w:ind w:left="425" w:hanging="425"/>
      </w:pPr>
      <w:rPr>
        <w:rFonts w:hint="default"/>
      </w:rPr>
    </w:lvl>
  </w:abstractNum>
  <w:abstractNum w:abstractNumId="4">
    <w:nsid w:val="B8D27CBE"/>
    <w:multiLevelType w:val="singleLevel"/>
    <w:tmpl w:val="B8D27CBE"/>
    <w:lvl w:ilvl="0" w:tentative="0">
      <w:start w:val="1"/>
      <w:numFmt w:val="decimal"/>
      <w:lvlText w:val="%1)"/>
      <w:lvlJc w:val="left"/>
      <w:pPr>
        <w:ind w:left="425" w:hanging="425"/>
      </w:pPr>
      <w:rPr>
        <w:rFonts w:hint="default"/>
      </w:rPr>
    </w:lvl>
  </w:abstractNum>
  <w:abstractNum w:abstractNumId="5">
    <w:nsid w:val="CC697D82"/>
    <w:multiLevelType w:val="singleLevel"/>
    <w:tmpl w:val="CC697D82"/>
    <w:lvl w:ilvl="0" w:tentative="0">
      <w:start w:val="10"/>
      <w:numFmt w:val="decimal"/>
      <w:suff w:val="nothing"/>
      <w:lvlText w:val="%1、"/>
      <w:lvlJc w:val="left"/>
      <w:rPr>
        <w:rFonts w:hint="default"/>
      </w:rPr>
    </w:lvl>
  </w:abstractNum>
  <w:abstractNum w:abstractNumId="6">
    <w:nsid w:val="D879D5B6"/>
    <w:multiLevelType w:val="singleLevel"/>
    <w:tmpl w:val="D879D5B6"/>
    <w:lvl w:ilvl="0" w:tentative="0">
      <w:start w:val="1"/>
      <w:numFmt w:val="decimal"/>
      <w:lvlText w:val="%1)"/>
      <w:lvlJc w:val="left"/>
      <w:pPr>
        <w:ind w:left="425" w:hanging="425"/>
      </w:pPr>
      <w:rPr>
        <w:rFonts w:hint="default"/>
      </w:rPr>
    </w:lvl>
  </w:abstractNum>
  <w:abstractNum w:abstractNumId="7">
    <w:nsid w:val="E49EDA4F"/>
    <w:multiLevelType w:val="singleLevel"/>
    <w:tmpl w:val="E49EDA4F"/>
    <w:lvl w:ilvl="0" w:tentative="0">
      <w:start w:val="1"/>
      <w:numFmt w:val="decimal"/>
      <w:lvlText w:val="%1)"/>
      <w:lvlJc w:val="left"/>
      <w:pPr>
        <w:ind w:left="425" w:hanging="425"/>
      </w:pPr>
      <w:rPr>
        <w:rFonts w:hint="default"/>
      </w:rPr>
    </w:lvl>
  </w:abstractNum>
  <w:abstractNum w:abstractNumId="8">
    <w:nsid w:val="06FD6157"/>
    <w:multiLevelType w:val="singleLevel"/>
    <w:tmpl w:val="06FD6157"/>
    <w:lvl w:ilvl="0" w:tentative="0">
      <w:start w:val="1"/>
      <w:numFmt w:val="bullet"/>
      <w:lvlText w:val=""/>
      <w:lvlJc w:val="left"/>
      <w:pPr>
        <w:ind w:left="420" w:hanging="420"/>
      </w:pPr>
      <w:rPr>
        <w:rFonts w:hint="default" w:ascii="Wingdings" w:hAnsi="Wingdings"/>
      </w:rPr>
    </w:lvl>
  </w:abstractNum>
  <w:abstractNum w:abstractNumId="9">
    <w:nsid w:val="14AE583A"/>
    <w:multiLevelType w:val="singleLevel"/>
    <w:tmpl w:val="14AE583A"/>
    <w:lvl w:ilvl="0" w:tentative="0">
      <w:start w:val="1"/>
      <w:numFmt w:val="decimal"/>
      <w:lvlText w:val="%1)"/>
      <w:lvlJc w:val="left"/>
      <w:pPr>
        <w:ind w:left="425" w:hanging="425"/>
      </w:pPr>
      <w:rPr>
        <w:rFonts w:hint="default"/>
      </w:rPr>
    </w:lvl>
  </w:abstractNum>
  <w:abstractNum w:abstractNumId="10">
    <w:nsid w:val="1CF511D3"/>
    <w:multiLevelType w:val="singleLevel"/>
    <w:tmpl w:val="1CF511D3"/>
    <w:lvl w:ilvl="0" w:tentative="0">
      <w:start w:val="1"/>
      <w:numFmt w:val="decimal"/>
      <w:lvlText w:val="%1)"/>
      <w:lvlJc w:val="left"/>
      <w:pPr>
        <w:ind w:left="425" w:hanging="425"/>
      </w:pPr>
      <w:rPr>
        <w:rFonts w:hint="default"/>
      </w:rPr>
    </w:lvl>
  </w:abstractNum>
  <w:abstractNum w:abstractNumId="11">
    <w:nsid w:val="2254A20D"/>
    <w:multiLevelType w:val="singleLevel"/>
    <w:tmpl w:val="2254A20D"/>
    <w:lvl w:ilvl="0" w:tentative="0">
      <w:start w:val="1"/>
      <w:numFmt w:val="decimal"/>
      <w:lvlText w:val="%1)"/>
      <w:lvlJc w:val="left"/>
      <w:pPr>
        <w:ind w:left="425" w:hanging="425"/>
      </w:pPr>
      <w:rPr>
        <w:rFonts w:hint="default"/>
      </w:rPr>
    </w:lvl>
  </w:abstractNum>
  <w:abstractNum w:abstractNumId="12">
    <w:nsid w:val="3274EC4B"/>
    <w:multiLevelType w:val="singleLevel"/>
    <w:tmpl w:val="3274EC4B"/>
    <w:lvl w:ilvl="0" w:tentative="0">
      <w:start w:val="1"/>
      <w:numFmt w:val="decimal"/>
      <w:lvlText w:val="%1)"/>
      <w:lvlJc w:val="left"/>
      <w:pPr>
        <w:ind w:left="425" w:hanging="425"/>
      </w:pPr>
      <w:rPr>
        <w:rFonts w:hint="default"/>
      </w:rPr>
    </w:lvl>
  </w:abstractNum>
  <w:abstractNum w:abstractNumId="13">
    <w:nsid w:val="406B7DB9"/>
    <w:multiLevelType w:val="singleLevel"/>
    <w:tmpl w:val="406B7DB9"/>
    <w:lvl w:ilvl="0" w:tentative="0">
      <w:start w:val="1"/>
      <w:numFmt w:val="decimal"/>
      <w:lvlText w:val="%1."/>
      <w:lvlJc w:val="left"/>
      <w:pPr>
        <w:ind w:left="425" w:hanging="425"/>
      </w:pPr>
      <w:rPr>
        <w:rFonts w:hint="default"/>
      </w:rPr>
    </w:lvl>
  </w:abstractNum>
  <w:abstractNum w:abstractNumId="14">
    <w:nsid w:val="426BD6AE"/>
    <w:multiLevelType w:val="singleLevel"/>
    <w:tmpl w:val="426BD6AE"/>
    <w:lvl w:ilvl="0" w:tentative="0">
      <w:start w:val="1"/>
      <w:numFmt w:val="decimal"/>
      <w:lvlText w:val="%1)"/>
      <w:lvlJc w:val="left"/>
      <w:pPr>
        <w:ind w:left="425" w:hanging="425"/>
      </w:pPr>
      <w:rPr>
        <w:rFonts w:hint="default"/>
      </w:rPr>
    </w:lvl>
  </w:abstractNum>
  <w:abstractNum w:abstractNumId="15">
    <w:nsid w:val="4C735DC7"/>
    <w:multiLevelType w:val="singleLevel"/>
    <w:tmpl w:val="4C735DC7"/>
    <w:lvl w:ilvl="0" w:tentative="0">
      <w:start w:val="1"/>
      <w:numFmt w:val="decimal"/>
      <w:lvlText w:val="%1)"/>
      <w:lvlJc w:val="left"/>
      <w:pPr>
        <w:ind w:left="425" w:hanging="425"/>
      </w:pPr>
      <w:rPr>
        <w:rFonts w:hint="default"/>
      </w:rPr>
    </w:lvl>
  </w:abstractNum>
  <w:abstractNum w:abstractNumId="16">
    <w:nsid w:val="4C840F66"/>
    <w:multiLevelType w:val="singleLevel"/>
    <w:tmpl w:val="4C840F66"/>
    <w:lvl w:ilvl="0" w:tentative="0">
      <w:start w:val="1"/>
      <w:numFmt w:val="decimal"/>
      <w:lvlText w:val="%1."/>
      <w:lvlJc w:val="left"/>
      <w:pPr>
        <w:ind w:left="425" w:hanging="425"/>
      </w:pPr>
      <w:rPr>
        <w:rFonts w:hint="default"/>
      </w:rPr>
    </w:lvl>
  </w:abstractNum>
  <w:abstractNum w:abstractNumId="17">
    <w:nsid w:val="6E2285BC"/>
    <w:multiLevelType w:val="singleLevel"/>
    <w:tmpl w:val="6E2285BC"/>
    <w:lvl w:ilvl="0" w:tentative="0">
      <w:start w:val="1"/>
      <w:numFmt w:val="decimal"/>
      <w:lvlText w:val="%1)"/>
      <w:lvlJc w:val="left"/>
      <w:pPr>
        <w:ind w:left="425" w:hanging="425"/>
      </w:pPr>
      <w:rPr>
        <w:rFonts w:hint="default"/>
      </w:rPr>
    </w:lvl>
  </w:abstractNum>
  <w:abstractNum w:abstractNumId="18">
    <w:nsid w:val="714F70B3"/>
    <w:multiLevelType w:val="singleLevel"/>
    <w:tmpl w:val="714F70B3"/>
    <w:lvl w:ilvl="0" w:tentative="0">
      <w:start w:val="5"/>
      <w:numFmt w:val="decimal"/>
      <w:suff w:val="nothing"/>
      <w:lvlText w:val="%1、"/>
      <w:lvlJc w:val="left"/>
      <w:rPr>
        <w:rFonts w:hint="default"/>
      </w:rPr>
    </w:lvl>
  </w:abstractNum>
  <w:abstractNum w:abstractNumId="19">
    <w:nsid w:val="73315813"/>
    <w:multiLevelType w:val="singleLevel"/>
    <w:tmpl w:val="73315813"/>
    <w:lvl w:ilvl="0" w:tentative="0">
      <w:start w:val="1"/>
      <w:numFmt w:val="decimal"/>
      <w:lvlText w:val="%1)"/>
      <w:lvlJc w:val="left"/>
      <w:pPr>
        <w:ind w:left="425" w:hanging="425"/>
      </w:pPr>
      <w:rPr>
        <w:rFonts w:hint="default"/>
      </w:rPr>
    </w:lvl>
  </w:abstractNum>
  <w:abstractNum w:abstractNumId="20">
    <w:nsid w:val="77F3AC3B"/>
    <w:multiLevelType w:val="singleLevel"/>
    <w:tmpl w:val="77F3AC3B"/>
    <w:lvl w:ilvl="0" w:tentative="0">
      <w:start w:val="1"/>
      <w:numFmt w:val="decimal"/>
      <w:lvlText w:val="%1)"/>
      <w:lvlJc w:val="left"/>
      <w:pPr>
        <w:ind w:left="425" w:hanging="425"/>
      </w:pPr>
      <w:rPr>
        <w:rFonts w:hint="default"/>
      </w:rPr>
    </w:lvl>
  </w:abstractNum>
  <w:num w:numId="1">
    <w:abstractNumId w:val="13"/>
  </w:num>
  <w:num w:numId="2">
    <w:abstractNumId w:val="1"/>
  </w:num>
  <w:num w:numId="3">
    <w:abstractNumId w:val="16"/>
  </w:num>
  <w:num w:numId="4">
    <w:abstractNumId w:val="6"/>
  </w:num>
  <w:num w:numId="5">
    <w:abstractNumId w:val="17"/>
  </w:num>
  <w:num w:numId="6">
    <w:abstractNumId w:val="20"/>
  </w:num>
  <w:num w:numId="7">
    <w:abstractNumId w:val="3"/>
  </w:num>
  <w:num w:numId="8">
    <w:abstractNumId w:val="14"/>
  </w:num>
  <w:num w:numId="9">
    <w:abstractNumId w:val="12"/>
  </w:num>
  <w:num w:numId="10">
    <w:abstractNumId w:val="18"/>
  </w:num>
  <w:num w:numId="11">
    <w:abstractNumId w:val="8"/>
  </w:num>
  <w:num w:numId="12">
    <w:abstractNumId w:val="19"/>
  </w:num>
  <w:num w:numId="13">
    <w:abstractNumId w:val="15"/>
  </w:num>
  <w:num w:numId="14">
    <w:abstractNumId w:val="0"/>
  </w:num>
  <w:num w:numId="15">
    <w:abstractNumId w:val="9"/>
  </w:num>
  <w:num w:numId="16">
    <w:abstractNumId w:val="7"/>
  </w:num>
  <w:num w:numId="17">
    <w:abstractNumId w:val="2"/>
  </w:num>
  <w:num w:numId="18">
    <w:abstractNumId w:val="10"/>
  </w:num>
  <w:num w:numId="19">
    <w:abstractNumId w:val="4"/>
  </w:num>
  <w:num w:numId="20">
    <w:abstractNumId w:val="5"/>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dit="readOnly" w:enforcement="0"/>
  <w:displayHorizontalDrawingGridEvery w:val="1"/>
  <w:displayVerticalDrawingGridEvery w:val="1"/>
  <w:noPunctuationKerning w:val="1"/>
  <w:compat>
    <w:doNotExpandShiftReturn/>
    <w:doNotWrapTextWithPunct/>
    <w:doNotUseEastAsianBreakRules/>
    <w:useFELayout/>
    <w:splitPgBreakAndParaMark/>
    <w:compatSetting w:name="compatibilityMode" w:uri="http://schemas.microsoft.com/office/word" w:val="12"/>
  </w:compat>
  <w:rsids>
    <w:rsidRoot w:val="00000000"/>
    <w:rsid w:val="0B253CFB"/>
    <w:rsid w:val="0BBD251C"/>
    <w:rsid w:val="0F48350F"/>
    <w:rsid w:val="13A937E6"/>
    <w:rsid w:val="16C2561C"/>
    <w:rsid w:val="2E850A4E"/>
    <w:rsid w:val="2EF7784D"/>
    <w:rsid w:val="3114639B"/>
    <w:rsid w:val="4E421EDE"/>
    <w:rsid w:val="54F823AD"/>
    <w:rsid w:val="595E352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14</Pages>
  <Words>3559</Words>
  <Characters>24474</Characters>
  <TotalTime>1</TotalTime>
  <ScaleCrop>false</ScaleCrop>
  <LinksUpToDate>false</LinksUpToDate>
  <CharactersWithSpaces>27832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2026-08-04T06:00:00Z</dcterms:created>
  <dc:creator>Apache POI</dc:creator>
  <cp:lastModifiedBy>景</cp:lastModifiedBy>
  <dcterms:modified xsi:type="dcterms:W3CDTF">2026-08-05T09:35:37Z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{"Label":"1","ContentProducer":"001191110102MACQD9K64010000","ProduceID":"7670052240207858987","ReservedCode1":"","ContentPropagator":"","PropagateID":"","ReservedCode2":""}</vt:lpwstr>
  </property>
  <property fmtid="{D5CDD505-2E9C-101B-9397-08002B2CF9AE}" pid="3" name="KSOTemplateDocerSaveRecord">
    <vt:lpwstr>eyJoZGlkIjoiYzgxNWJlMGJjNmEwZDcxYTU0ZjQ0MmNhNDI2NTg5YmMiLCJ1c2VySWQiOiIyNjM1Mzc1MzgifQ==</vt:lpwstr>
  </property>
  <property fmtid="{D5CDD505-2E9C-101B-9397-08002B2CF9AE}" pid="4" name="KSOProductBuildVer">
    <vt:lpwstr>2052-12.1.0.28043</vt:lpwstr>
  </property>
  <property fmtid="{D5CDD505-2E9C-101B-9397-08002B2CF9AE}" pid="5" name="ICV">
    <vt:lpwstr>6A9E1141722D433C869E4E54A9EA12D8_12</vt:lpwstr>
  </property>
</Properties>
</file>